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65912" w14:textId="7992C37B" w:rsidR="005D03B0" w:rsidRDefault="005D03B0">
      <w:pPr>
        <w:pBdr>
          <w:top w:val="nil"/>
          <w:left w:val="nil"/>
          <w:bottom w:val="nil"/>
          <w:right w:val="nil"/>
          <w:between w:val="nil"/>
        </w:pBdr>
        <w:tabs>
          <w:tab w:val="left" w:pos="370"/>
          <w:tab w:val="right" w:pos="3921"/>
        </w:tabs>
        <w:spacing w:line="276" w:lineRule="auto"/>
        <w:rPr>
          <w:noProof/>
          <w:sz w:val="44"/>
          <w:szCs w:val="44"/>
        </w:rPr>
      </w:pPr>
      <w:r>
        <w:rPr>
          <w:rFonts w:ascii="Arial" w:eastAsia="Arial" w:hAnsi="Arial" w:cs="Arial"/>
          <w:b/>
          <w:noProof/>
          <w:color w:val="008000"/>
          <w:sz w:val="56"/>
          <w:szCs w:val="56"/>
        </w:rPr>
        <w:drawing>
          <wp:anchor distT="0" distB="0" distL="114300" distR="114300" simplePos="0" relativeHeight="251642880" behindDoc="0" locked="0" layoutInCell="1" hidden="0" allowOverlap="1" wp14:anchorId="43FC42A3" wp14:editId="3E86D7F2">
            <wp:simplePos x="0" y="0"/>
            <wp:positionH relativeFrom="margin">
              <wp:posOffset>2838449</wp:posOffset>
            </wp:positionH>
            <wp:positionV relativeFrom="margin">
              <wp:posOffset>-43180</wp:posOffset>
            </wp:positionV>
            <wp:extent cx="1666875" cy="1638300"/>
            <wp:effectExtent l="0" t="0" r="9525" b="0"/>
            <wp:wrapNone/>
            <wp:docPr id="10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666875" cy="16383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8000"/>
          <w:sz w:val="56"/>
          <w:szCs w:val="56"/>
        </w:rPr>
        <mc:AlternateContent>
          <mc:Choice Requires="wpc">
            <w:drawing>
              <wp:anchor distT="0" distB="0" distL="114300" distR="114300" simplePos="0" relativeHeight="251678720" behindDoc="0" locked="0" layoutInCell="1" allowOverlap="1" wp14:anchorId="195249D5" wp14:editId="0E623747">
                <wp:simplePos x="0" y="0"/>
                <wp:positionH relativeFrom="column">
                  <wp:posOffset>-790575</wp:posOffset>
                </wp:positionH>
                <wp:positionV relativeFrom="paragraph">
                  <wp:posOffset>-43180</wp:posOffset>
                </wp:positionV>
                <wp:extent cx="3829050" cy="1885119"/>
                <wp:effectExtent l="0" t="0" r="0" b="1270"/>
                <wp:wrapNone/>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8318A46" id="Canvas 4" o:spid="_x0000_s1026" editas="canvas" style="position:absolute;margin-left:-62.25pt;margin-top:-3.4pt;width:301.5pt;height:148.45pt;z-index:251678720" coordsize="38290,18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290;height:18846;visibility:visible;mso-wrap-style:square">
                  <v:fill o:detectmouseclick="t"/>
                  <v:path o:connecttype="none"/>
                </v:shape>
                <v:shape id="Picture 5" o:spid="_x0000_s1028" type="#_x0000_t75" style="position:absolute;width:36195;height:1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At27AAAA2gAAAA8AAABkcnMvZG93bnJldi54bWxET0sKwjAQ3QveIYzgTtMqiFSjiCKI4sLP&#10;AYZmbIvNpDSxrbc3guDy8f7LdWdK0VDtCssK4nEEgji1uuBMwf22H81BOI+ssbRMCt7kYL3q95aY&#10;aNvyhZqrz0QIYZeggtz7KpHSpTkZdGNbEQfuYWuDPsA6k7rGNoSbUk6iaCYNFhwacqxom1P6vL5M&#10;mMHV/Iinpn3JzkzOcZyddrONUsNBt1mA8NT5v/jnPmgFU/heCX6Qqw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cnAt27AAAA2gAAAA8AAAAAAAAAAAAAAAAAnwIAAGRycy9k&#10;b3ducmV2LnhtbFBLBQYAAAAABAAEAPcAAACHAwAAAAA=&#10;">
                  <v:imagedata r:id="rId13" o:title=""/>
                </v:shape>
              </v:group>
            </w:pict>
          </mc:Fallback>
        </mc:AlternateContent>
      </w:r>
      <w:r>
        <w:rPr>
          <w:noProof/>
        </w:rPr>
        <w:drawing>
          <wp:anchor distT="0" distB="0" distL="114300" distR="114300" simplePos="0" relativeHeight="251645952" behindDoc="0" locked="0" layoutInCell="1" hidden="0" allowOverlap="1" wp14:anchorId="43FC42A7" wp14:editId="5FD15EAE">
            <wp:simplePos x="0" y="0"/>
            <wp:positionH relativeFrom="column">
              <wp:posOffset>4670425</wp:posOffset>
            </wp:positionH>
            <wp:positionV relativeFrom="paragraph">
              <wp:posOffset>124460</wp:posOffset>
            </wp:positionV>
            <wp:extent cx="1651000" cy="786130"/>
            <wp:effectExtent l="0" t="0" r="0" b="0"/>
            <wp:wrapSquare wrapText="bothSides" distT="0" distB="0" distL="114300" distR="114300"/>
            <wp:docPr id="10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651000" cy="786130"/>
                    </a:xfrm>
                    <a:prstGeom prst="rect">
                      <a:avLst/>
                    </a:prstGeom>
                    <a:ln/>
                  </pic:spPr>
                </pic:pic>
              </a:graphicData>
            </a:graphic>
          </wp:anchor>
        </w:drawing>
      </w:r>
    </w:p>
    <w:p w14:paraId="56173E99" w14:textId="77777777" w:rsidR="005D03B0" w:rsidRDefault="00D84109">
      <w:pPr>
        <w:pBdr>
          <w:top w:val="nil"/>
          <w:left w:val="nil"/>
          <w:bottom w:val="nil"/>
          <w:right w:val="nil"/>
          <w:between w:val="nil"/>
        </w:pBdr>
        <w:tabs>
          <w:tab w:val="left" w:pos="370"/>
          <w:tab w:val="right" w:pos="3921"/>
        </w:tabs>
        <w:spacing w:line="276" w:lineRule="auto"/>
        <w:rPr>
          <w:rFonts w:ascii="Calibri" w:hAnsi="Calibri" w:cs="Calibri"/>
          <w:color w:val="000000"/>
          <w:sz w:val="22"/>
          <w:szCs w:val="22"/>
          <w:shd w:val="clear" w:color="auto" w:fill="FFFFFF"/>
          <w:lang w:val="en-ZA"/>
        </w:rPr>
      </w:pPr>
      <w:r>
        <w:rPr>
          <w:noProof/>
          <w:sz w:val="44"/>
          <w:szCs w:val="44"/>
        </w:rPr>
        <w:drawing>
          <wp:anchor distT="0" distB="0" distL="114300" distR="114300" simplePos="0" relativeHeight="251675648" behindDoc="0" locked="0" layoutInCell="1" allowOverlap="1" wp14:anchorId="0B00AB56" wp14:editId="1F3F741E">
            <wp:simplePos x="0" y="0"/>
            <wp:positionH relativeFrom="column">
              <wp:posOffset>-838200</wp:posOffset>
            </wp:positionH>
            <wp:positionV relativeFrom="paragraph">
              <wp:posOffset>4445</wp:posOffset>
            </wp:positionV>
            <wp:extent cx="3133725" cy="12541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0398" t="-36546" r="64168" b="101672"/>
                    <a:stretch/>
                  </pic:blipFill>
                  <pic:spPr bwMode="auto">
                    <a:xfrm>
                      <a:off x="0" y="0"/>
                      <a:ext cx="3133725" cy="125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200">
        <w:rPr>
          <w:rFonts w:ascii="Calibri" w:hAnsi="Calibri" w:cs="Calibri"/>
          <w:color w:val="000000"/>
          <w:sz w:val="22"/>
          <w:szCs w:val="22"/>
          <w:shd w:val="clear" w:color="auto" w:fill="FFFFFF"/>
          <w:lang w:val="en-ZA"/>
        </w:rPr>
        <w:br/>
      </w:r>
    </w:p>
    <w:p w14:paraId="43FC3F19" w14:textId="54C94BB2" w:rsidR="009045EB" w:rsidRDefault="00FD0200">
      <w:pPr>
        <w:pBdr>
          <w:top w:val="nil"/>
          <w:left w:val="nil"/>
          <w:bottom w:val="nil"/>
          <w:right w:val="nil"/>
          <w:between w:val="nil"/>
        </w:pBdr>
        <w:tabs>
          <w:tab w:val="left" w:pos="370"/>
          <w:tab w:val="right" w:pos="3921"/>
        </w:tabs>
        <w:spacing w:line="276" w:lineRule="auto"/>
        <w:rPr>
          <w:rFonts w:ascii="Arial" w:eastAsia="Arial" w:hAnsi="Arial" w:cs="Arial"/>
          <w:color w:val="000F14"/>
          <w:sz w:val="48"/>
          <w:szCs w:val="48"/>
        </w:rPr>
      </w:pPr>
      <w:r>
        <w:rPr>
          <w:rFonts w:ascii="Calibri" w:hAnsi="Calibri" w:cs="Calibri"/>
          <w:color w:val="000000"/>
          <w:sz w:val="22"/>
          <w:szCs w:val="22"/>
          <w:shd w:val="clear" w:color="auto" w:fill="FFFFFF"/>
          <w:lang w:val="en-ZA"/>
        </w:rPr>
        <w:br/>
      </w:r>
      <w:r>
        <w:rPr>
          <w:rFonts w:ascii="Calibri" w:hAnsi="Calibri" w:cs="Calibri"/>
          <w:color w:val="000000"/>
          <w:sz w:val="22"/>
          <w:szCs w:val="22"/>
          <w:shd w:val="clear" w:color="auto" w:fill="FFFFFF"/>
          <w:lang w:val="en-ZA"/>
        </w:rPr>
        <w:br/>
      </w:r>
      <w:r w:rsidR="00D84109">
        <w:rPr>
          <w:rFonts w:ascii="Calibri" w:hAnsi="Calibri" w:cs="Calibri"/>
          <w:color w:val="000000"/>
          <w:sz w:val="22"/>
          <w:szCs w:val="22"/>
          <w:shd w:val="clear" w:color="auto" w:fill="FFFFFF"/>
          <w:lang w:val="en-ZA"/>
        </w:rPr>
        <w:br/>
      </w:r>
      <w:r w:rsidR="0072593A">
        <w:rPr>
          <w:rFonts w:ascii="Arial" w:eastAsia="Arial" w:hAnsi="Arial" w:cs="Arial"/>
          <w:color w:val="000F14"/>
          <w:sz w:val="48"/>
          <w:szCs w:val="48"/>
        </w:rPr>
        <w:tab/>
      </w:r>
      <w:r w:rsidR="0072593A">
        <w:rPr>
          <w:rFonts w:ascii="Arial" w:eastAsia="Arial" w:hAnsi="Arial" w:cs="Arial"/>
          <w:color w:val="000F14"/>
          <w:sz w:val="48"/>
          <w:szCs w:val="48"/>
        </w:rPr>
        <w:tab/>
        <w:t xml:space="preserve"> </w:t>
      </w:r>
      <w:r w:rsidR="00C86853">
        <w:rPr>
          <w:rFonts w:ascii="Calibri" w:hAnsi="Calibri" w:cs="Calibri"/>
          <w:color w:val="000000"/>
          <w:sz w:val="22"/>
          <w:szCs w:val="22"/>
          <w:shd w:val="clear" w:color="auto" w:fill="FFFFFF"/>
          <w:lang w:val="en-ZA"/>
        </w:rPr>
        <w:br/>
      </w:r>
    </w:p>
    <w:p w14:paraId="43FC3F1A" w14:textId="050D3C11" w:rsidR="009045EB" w:rsidRDefault="009045EB">
      <w:pPr>
        <w:pBdr>
          <w:top w:val="nil"/>
          <w:left w:val="nil"/>
          <w:bottom w:val="nil"/>
          <w:right w:val="nil"/>
          <w:between w:val="nil"/>
        </w:pBdr>
        <w:spacing w:line="276" w:lineRule="auto"/>
        <w:jc w:val="right"/>
        <w:rPr>
          <w:rFonts w:ascii="Arial" w:eastAsia="Arial" w:hAnsi="Arial" w:cs="Arial"/>
          <w:color w:val="000F14"/>
          <w:sz w:val="48"/>
          <w:szCs w:val="48"/>
        </w:rPr>
      </w:pPr>
    </w:p>
    <w:p w14:paraId="43FC3F1B" w14:textId="77777777" w:rsidR="009045EB" w:rsidRDefault="009045EB">
      <w:pPr>
        <w:pBdr>
          <w:top w:val="nil"/>
          <w:left w:val="nil"/>
          <w:bottom w:val="nil"/>
          <w:right w:val="nil"/>
          <w:between w:val="nil"/>
        </w:pBdr>
        <w:spacing w:line="276" w:lineRule="auto"/>
        <w:jc w:val="right"/>
        <w:rPr>
          <w:rFonts w:ascii="Arial" w:eastAsia="Arial" w:hAnsi="Arial" w:cs="Arial"/>
          <w:color w:val="000F14"/>
          <w:sz w:val="48"/>
          <w:szCs w:val="48"/>
        </w:rPr>
      </w:pPr>
    </w:p>
    <w:p w14:paraId="43FC3F1E" w14:textId="77777777" w:rsidR="009045EB" w:rsidRDefault="0072593A">
      <w:pPr>
        <w:pBdr>
          <w:top w:val="nil"/>
          <w:left w:val="nil"/>
          <w:bottom w:val="nil"/>
          <w:right w:val="nil"/>
          <w:between w:val="nil"/>
        </w:pBdr>
        <w:spacing w:line="276" w:lineRule="auto"/>
        <w:jc w:val="right"/>
        <w:rPr>
          <w:rFonts w:ascii="Arial" w:eastAsia="Arial" w:hAnsi="Arial" w:cs="Arial"/>
          <w:b/>
          <w:color w:val="FFFFFF"/>
          <w:sz w:val="48"/>
          <w:szCs w:val="48"/>
        </w:rPr>
      </w:pPr>
      <w:r>
        <w:rPr>
          <w:rFonts w:ascii="Arial" w:eastAsia="Arial" w:hAnsi="Arial" w:cs="Arial"/>
          <w:color w:val="FFFFFF"/>
          <w:sz w:val="48"/>
          <w:szCs w:val="48"/>
        </w:rPr>
        <w:t xml:space="preserve">REQUIREMENTS FOR </w:t>
      </w:r>
      <w:r>
        <w:rPr>
          <w:rFonts w:ascii="Arial" w:eastAsia="Arial" w:hAnsi="Arial" w:cs="Arial"/>
          <w:b/>
          <w:color w:val="FFFFFF"/>
          <w:sz w:val="48"/>
          <w:szCs w:val="48"/>
        </w:rPr>
        <w:t>EMBEDDED GENERATION</w:t>
      </w:r>
    </w:p>
    <w:p w14:paraId="43FC3F1F" w14:textId="77777777" w:rsidR="009045EB" w:rsidRDefault="009045EB">
      <w:pPr>
        <w:pBdr>
          <w:top w:val="nil"/>
          <w:left w:val="nil"/>
          <w:bottom w:val="nil"/>
          <w:right w:val="nil"/>
          <w:between w:val="nil"/>
        </w:pBdr>
        <w:spacing w:line="276" w:lineRule="auto"/>
        <w:rPr>
          <w:rFonts w:ascii="Arial" w:eastAsia="Arial" w:hAnsi="Arial" w:cs="Arial"/>
          <w:b/>
          <w:color w:val="FFFFFF"/>
          <w:sz w:val="56"/>
          <w:szCs w:val="56"/>
        </w:rPr>
      </w:pPr>
    </w:p>
    <w:p w14:paraId="43FC3F20" w14:textId="77ADC997" w:rsidR="009045EB" w:rsidRDefault="0072593A">
      <w:pPr>
        <w:pStyle w:val="Title"/>
        <w:spacing w:line="276" w:lineRule="auto"/>
        <w:ind w:left="720"/>
        <w:jc w:val="right"/>
        <w:rPr>
          <w:rFonts w:ascii="Arial" w:eastAsia="Arial" w:hAnsi="Arial" w:cs="Arial"/>
          <w:color w:val="FFFFFF"/>
          <w:sz w:val="32"/>
          <w:szCs w:val="32"/>
        </w:rPr>
      </w:pPr>
      <w:r>
        <w:rPr>
          <w:rFonts w:ascii="Arial" w:eastAsia="Arial" w:hAnsi="Arial" w:cs="Arial"/>
          <w:color w:val="FFFFFF"/>
          <w:sz w:val="32"/>
          <w:szCs w:val="32"/>
        </w:rPr>
        <w:t>Conditions and application process to become a small-scale embedded ge</w:t>
      </w:r>
      <w:r w:rsidR="00C86853">
        <w:rPr>
          <w:rFonts w:ascii="Arial" w:eastAsia="Arial" w:hAnsi="Arial" w:cs="Arial"/>
          <w:color w:val="FFFFFF"/>
          <w:sz w:val="32"/>
          <w:szCs w:val="32"/>
        </w:rPr>
        <w:t xml:space="preserve">nerator in the Municipality of </w:t>
      </w:r>
      <w:r w:rsidR="00C86853" w:rsidRPr="00C86853">
        <w:rPr>
          <w:rFonts w:ascii="Arial" w:eastAsia="Arial" w:hAnsi="Arial" w:cs="Arial"/>
          <w:color w:val="FFFFFF"/>
          <w:sz w:val="32"/>
          <w:szCs w:val="32"/>
        </w:rPr>
        <w:t>Makana</w:t>
      </w:r>
    </w:p>
    <w:p w14:paraId="43FC3F21" w14:textId="77777777" w:rsidR="009045EB" w:rsidRDefault="009045EB">
      <w:pPr>
        <w:widowControl w:val="0"/>
        <w:pBdr>
          <w:top w:val="nil"/>
          <w:left w:val="nil"/>
          <w:bottom w:val="nil"/>
          <w:right w:val="nil"/>
          <w:between w:val="nil"/>
        </w:pBdr>
        <w:jc w:val="right"/>
        <w:rPr>
          <w:rFonts w:ascii="Arial" w:eastAsia="Arial" w:hAnsi="Arial" w:cs="Arial"/>
          <w:color w:val="FFFFFF"/>
          <w:sz w:val="36"/>
          <w:szCs w:val="36"/>
        </w:rPr>
      </w:pPr>
    </w:p>
    <w:p w14:paraId="43FC3F22" w14:textId="63CC7F53" w:rsidR="009045EB" w:rsidRDefault="00566D96">
      <w:pPr>
        <w:widowControl w:val="0"/>
        <w:pBdr>
          <w:top w:val="nil"/>
          <w:left w:val="nil"/>
          <w:bottom w:val="nil"/>
          <w:right w:val="nil"/>
          <w:between w:val="nil"/>
        </w:pBdr>
        <w:jc w:val="right"/>
        <w:rPr>
          <w:rFonts w:ascii="Arial" w:eastAsia="Arial" w:hAnsi="Arial" w:cs="Arial"/>
          <w:color w:val="FFFFFF"/>
          <w:sz w:val="36"/>
          <w:szCs w:val="36"/>
        </w:rPr>
      </w:pPr>
      <w:r>
        <w:rPr>
          <w:rFonts w:ascii="Arial" w:eastAsia="Arial" w:hAnsi="Arial" w:cs="Arial"/>
          <w:color w:val="FFFFFF"/>
          <w:sz w:val="36"/>
          <w:szCs w:val="36"/>
        </w:rPr>
        <w:t>February</w:t>
      </w:r>
      <w:r w:rsidR="0072593A">
        <w:rPr>
          <w:rFonts w:ascii="Arial" w:eastAsia="Arial" w:hAnsi="Arial" w:cs="Arial"/>
          <w:color w:val="FFFFFF"/>
          <w:sz w:val="36"/>
          <w:szCs w:val="36"/>
        </w:rPr>
        <w:t xml:space="preserve"> 202</w:t>
      </w:r>
      <w:r>
        <w:rPr>
          <w:rFonts w:ascii="Arial" w:eastAsia="Arial" w:hAnsi="Arial" w:cs="Arial"/>
          <w:color w:val="FFFFFF"/>
          <w:sz w:val="36"/>
          <w:szCs w:val="36"/>
        </w:rPr>
        <w:t>3</w:t>
      </w:r>
    </w:p>
    <w:p w14:paraId="43FC3F23" w14:textId="77777777" w:rsidR="009045EB" w:rsidRDefault="0072593A">
      <w:pPr>
        <w:spacing w:line="276" w:lineRule="auto"/>
        <w:rPr>
          <w:rFonts w:ascii="Arial" w:eastAsia="Arial" w:hAnsi="Arial" w:cs="Arial"/>
          <w:color w:val="FFFFFF"/>
        </w:rPr>
      </w:pPr>
      <w:r>
        <w:br w:type="page"/>
      </w:r>
    </w:p>
    <w:p w14:paraId="43FC3F24" w14:textId="77777777" w:rsidR="009045EB" w:rsidRDefault="009045EB">
      <w:pPr>
        <w:keepNext/>
        <w:keepLines/>
        <w:pBdr>
          <w:top w:val="nil"/>
          <w:left w:val="nil"/>
          <w:bottom w:val="nil"/>
          <w:right w:val="nil"/>
          <w:between w:val="nil"/>
        </w:pBdr>
        <w:spacing w:before="240" w:line="259" w:lineRule="auto"/>
        <w:rPr>
          <w:rFonts w:ascii="Arial" w:eastAsia="Arial" w:hAnsi="Arial" w:cs="Arial"/>
          <w:color w:val="000000"/>
          <w:szCs w:val="20"/>
        </w:rPr>
      </w:pPr>
    </w:p>
    <w:p w14:paraId="43FC3F25" w14:textId="77777777" w:rsidR="009045EB" w:rsidRDefault="009045EB"/>
    <w:p w14:paraId="43FC3F26" w14:textId="77777777" w:rsidR="009045EB" w:rsidRDefault="0072593A">
      <w:pPr>
        <w:keepNext/>
        <w:keepLines/>
        <w:pBdr>
          <w:top w:val="nil"/>
          <w:left w:val="nil"/>
          <w:bottom w:val="nil"/>
          <w:right w:val="nil"/>
          <w:between w:val="nil"/>
        </w:pBdr>
        <w:spacing w:before="240" w:line="259" w:lineRule="auto"/>
        <w:rPr>
          <w:rFonts w:ascii="Arial" w:eastAsia="Arial" w:hAnsi="Arial" w:cs="Arial"/>
          <w:color w:val="000000"/>
          <w:szCs w:val="20"/>
        </w:rPr>
      </w:pPr>
      <w:r>
        <w:rPr>
          <w:rFonts w:ascii="Arial" w:eastAsia="Arial" w:hAnsi="Arial" w:cs="Arial"/>
          <w:color w:val="1E2B44"/>
          <w:sz w:val="40"/>
          <w:szCs w:val="40"/>
        </w:rPr>
        <w:t>Contents</w:t>
      </w:r>
    </w:p>
    <w:p w14:paraId="43FC3F27" w14:textId="77777777" w:rsidR="009045EB" w:rsidRDefault="009045EB">
      <w:pPr>
        <w:rPr>
          <w:rFonts w:ascii="Arial" w:eastAsia="Arial" w:hAnsi="Arial" w:cs="Arial"/>
        </w:rPr>
      </w:pPr>
    </w:p>
    <w:sdt>
      <w:sdtPr>
        <w:rPr>
          <w:rFonts w:ascii="Verdana" w:eastAsia="Times New Roman" w:hAnsi="Verdana" w:cs="Times New Roman"/>
          <w:sz w:val="18"/>
          <w:szCs w:val="24"/>
          <w:lang w:val="en-GB"/>
        </w:rPr>
        <w:id w:val="114488997"/>
        <w:docPartObj>
          <w:docPartGallery w:val="Table of Contents"/>
          <w:docPartUnique/>
        </w:docPartObj>
      </w:sdtPr>
      <w:sdtContent>
        <w:p w14:paraId="26664C03" w14:textId="10EA1E3B" w:rsidR="00693C21" w:rsidRPr="00693C21" w:rsidRDefault="0072593A">
          <w:pPr>
            <w:pStyle w:val="TOC1"/>
            <w:tabs>
              <w:tab w:val="left" w:pos="403"/>
              <w:tab w:val="right" w:pos="9016"/>
            </w:tabs>
            <w:rPr>
              <w:rFonts w:asciiTheme="minorHAnsi" w:eastAsiaTheme="minorEastAsia" w:hAnsiTheme="minorHAnsi" w:cstheme="minorBidi"/>
              <w:noProof/>
              <w:szCs w:val="20"/>
              <w:lang w:eastAsia="en-ZA"/>
            </w:rPr>
          </w:pPr>
          <w:r w:rsidRPr="00693C21">
            <w:rPr>
              <w:sz w:val="16"/>
              <w:szCs w:val="18"/>
            </w:rPr>
            <w:fldChar w:fldCharType="begin"/>
          </w:r>
          <w:r w:rsidRPr="00693C21">
            <w:rPr>
              <w:sz w:val="16"/>
              <w:szCs w:val="18"/>
            </w:rPr>
            <w:instrText xml:space="preserve"> TOC \h \u \z </w:instrText>
          </w:r>
          <w:r w:rsidRPr="00693C21">
            <w:rPr>
              <w:sz w:val="16"/>
              <w:szCs w:val="18"/>
            </w:rPr>
            <w:fldChar w:fldCharType="separate"/>
          </w:r>
          <w:hyperlink w:anchor="_Toc128033200" w:history="1">
            <w:r w:rsidR="00693C21" w:rsidRPr="00693C21">
              <w:rPr>
                <w:rStyle w:val="Hyperlink"/>
                <w:rFonts w:eastAsia="Arial" w:cs="Arial"/>
                <w:noProof/>
                <w:sz w:val="18"/>
                <w:szCs w:val="20"/>
              </w:rPr>
              <w:t>i.</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Information on this document</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_Toc128033200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5</w:t>
            </w:r>
            <w:r w:rsidR="00693C21" w:rsidRPr="00693C21">
              <w:rPr>
                <w:noProof/>
                <w:webHidden/>
                <w:sz w:val="18"/>
                <w:szCs w:val="20"/>
              </w:rPr>
              <w:fldChar w:fldCharType="end"/>
            </w:r>
          </w:hyperlink>
        </w:p>
        <w:p w14:paraId="3D7ED273" w14:textId="7CD94220"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01" w:history="1">
            <w:r w:rsidR="00693C21" w:rsidRPr="00693C21">
              <w:rPr>
                <w:rStyle w:val="Hyperlink"/>
                <w:rFonts w:eastAsia="Arial" w:cs="Arial"/>
                <w:noProof/>
                <w:sz w:val="18"/>
                <w:szCs w:val="20"/>
              </w:rPr>
              <w:t>ii.</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Glossary &amp; Definitions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_Toc128033201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7</w:t>
            </w:r>
            <w:r w:rsidR="00693C21" w:rsidRPr="00693C21">
              <w:rPr>
                <w:noProof/>
                <w:webHidden/>
                <w:sz w:val="18"/>
                <w:szCs w:val="20"/>
              </w:rPr>
              <w:fldChar w:fldCharType="end"/>
            </w:r>
          </w:hyperlink>
        </w:p>
        <w:p w14:paraId="455C6AEE" w14:textId="055A63FE" w:rsidR="00693C21" w:rsidRPr="00693C21" w:rsidRDefault="001A2FBB">
          <w:pPr>
            <w:pStyle w:val="TOC1"/>
            <w:tabs>
              <w:tab w:val="left" w:pos="601"/>
              <w:tab w:val="right" w:pos="9016"/>
            </w:tabs>
            <w:rPr>
              <w:rFonts w:asciiTheme="minorHAnsi" w:eastAsiaTheme="minorEastAsia" w:hAnsiTheme="minorHAnsi" w:cstheme="minorBidi"/>
              <w:noProof/>
              <w:szCs w:val="20"/>
              <w:lang w:eastAsia="en-ZA"/>
            </w:rPr>
          </w:pPr>
          <w:hyperlink w:anchor="_Toc128033202" w:history="1">
            <w:r w:rsidR="00693C21" w:rsidRPr="00693C21">
              <w:rPr>
                <w:rStyle w:val="Hyperlink"/>
                <w:rFonts w:eastAsia="Arial" w:cs="Arial"/>
                <w:noProof/>
                <w:sz w:val="18"/>
                <w:szCs w:val="20"/>
              </w:rPr>
              <w:t>iii.</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Types of systems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_Toc128033202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9</w:t>
            </w:r>
            <w:r w:rsidR="00693C21" w:rsidRPr="00693C21">
              <w:rPr>
                <w:noProof/>
                <w:webHidden/>
                <w:sz w:val="18"/>
                <w:szCs w:val="20"/>
              </w:rPr>
              <w:fldChar w:fldCharType="end"/>
            </w:r>
          </w:hyperlink>
        </w:p>
        <w:p w14:paraId="057F0E8C" w14:textId="7C342335" w:rsidR="00693C21" w:rsidRPr="00693C21" w:rsidRDefault="001A2FBB">
          <w:pPr>
            <w:pStyle w:val="TOC1"/>
            <w:tabs>
              <w:tab w:val="left" w:pos="601"/>
              <w:tab w:val="right" w:pos="9016"/>
            </w:tabs>
            <w:rPr>
              <w:rFonts w:asciiTheme="minorHAnsi" w:eastAsiaTheme="minorEastAsia" w:hAnsiTheme="minorHAnsi" w:cstheme="minorBidi"/>
              <w:noProof/>
              <w:szCs w:val="20"/>
              <w:lang w:eastAsia="en-ZA"/>
            </w:rPr>
          </w:pPr>
          <w:hyperlink w:anchor="_Toc128033203" w:history="1">
            <w:r w:rsidR="00693C21" w:rsidRPr="00693C21">
              <w:rPr>
                <w:rStyle w:val="Hyperlink"/>
                <w:rFonts w:eastAsia="Arial" w:cs="Arial"/>
                <w:noProof/>
                <w:sz w:val="18"/>
                <w:szCs w:val="20"/>
              </w:rPr>
              <w:t>iv.</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Abbreviations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_Toc128033203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10</w:t>
            </w:r>
            <w:r w:rsidR="00693C21" w:rsidRPr="00693C21">
              <w:rPr>
                <w:noProof/>
                <w:webHidden/>
                <w:sz w:val="18"/>
                <w:szCs w:val="20"/>
              </w:rPr>
              <w:fldChar w:fldCharType="end"/>
            </w:r>
          </w:hyperlink>
        </w:p>
        <w:p w14:paraId="765DBB6A" w14:textId="576C7076"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04" w:history="1">
            <w:r w:rsidR="00693C21" w:rsidRPr="00693C21">
              <w:rPr>
                <w:rStyle w:val="Hyperlink"/>
                <w:rFonts w:eastAsia="Arial" w:cs="Arial"/>
                <w:noProof/>
                <w:sz w:val="18"/>
                <w:szCs w:val="20"/>
              </w:rPr>
              <w:t>1.</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Introduction</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_Toc128033204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11</w:t>
            </w:r>
            <w:r w:rsidR="00693C21" w:rsidRPr="00693C21">
              <w:rPr>
                <w:noProof/>
                <w:webHidden/>
                <w:sz w:val="18"/>
                <w:szCs w:val="20"/>
              </w:rPr>
              <w:fldChar w:fldCharType="end"/>
            </w:r>
          </w:hyperlink>
        </w:p>
        <w:p w14:paraId="04EBD84F" w14:textId="40702980"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05" w:history="1">
            <w:r w:rsidR="00693C21" w:rsidRPr="00693C21">
              <w:rPr>
                <w:rStyle w:val="Hyperlink"/>
                <w:noProof/>
                <w:sz w:val="18"/>
                <w:szCs w:val="20"/>
              </w:rPr>
              <w:t>1.1.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Connecting larger generators to the distribution grid</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_Toc128033205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11</w:t>
            </w:r>
            <w:r w:rsidR="00693C21" w:rsidRPr="00693C21">
              <w:rPr>
                <w:noProof/>
                <w:webHidden/>
                <w:sz w:val="18"/>
                <w:szCs w:val="20"/>
              </w:rPr>
              <w:fldChar w:fldCharType="end"/>
            </w:r>
          </w:hyperlink>
        </w:p>
        <w:p w14:paraId="66D5F97B" w14:textId="0921A711"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06" w:history="1">
            <w:r w:rsidR="00693C21" w:rsidRPr="00693C21">
              <w:rPr>
                <w:rStyle w:val="Hyperlink"/>
                <w:rFonts w:eastAsia="Arial" w:cs="Arial"/>
                <w:noProof/>
                <w:sz w:val="18"/>
                <w:szCs w:val="20"/>
              </w:rPr>
              <w:t>2.</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Indemnity, Legal Requirements &amp; Curtailment</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_Toc128033206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12</w:t>
            </w:r>
            <w:r w:rsidR="00693C21" w:rsidRPr="00693C21">
              <w:rPr>
                <w:noProof/>
                <w:webHidden/>
                <w:sz w:val="18"/>
                <w:szCs w:val="20"/>
              </w:rPr>
              <w:fldChar w:fldCharType="end"/>
            </w:r>
          </w:hyperlink>
        </w:p>
        <w:p w14:paraId="39D0D906" w14:textId="5DACED67"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07" w:history="1">
            <w:r w:rsidR="00693C21" w:rsidRPr="00693C21">
              <w:rPr>
                <w:rStyle w:val="Hyperlink"/>
                <w:noProof/>
                <w:sz w:val="18"/>
                <w:szCs w:val="20"/>
              </w:rPr>
              <w:t>2.1.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Legal and Illegal Connections to the municipal electrical network</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_Toc128033207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12</w:t>
            </w:r>
            <w:r w:rsidR="00693C21" w:rsidRPr="00693C21">
              <w:rPr>
                <w:noProof/>
                <w:webHidden/>
                <w:sz w:val="18"/>
                <w:szCs w:val="20"/>
              </w:rPr>
              <w:fldChar w:fldCharType="end"/>
            </w:r>
          </w:hyperlink>
        </w:p>
        <w:p w14:paraId="1C227FE4" w14:textId="410B89B1"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08" w:history="1">
            <w:r w:rsidR="00693C21" w:rsidRPr="00693C21">
              <w:rPr>
                <w:rStyle w:val="Hyperlink"/>
                <w:noProof/>
                <w:sz w:val="18"/>
                <w:szCs w:val="20"/>
              </w:rPr>
              <w:t>2.2.</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Generation Curtailment</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_Toc128033208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12</w:t>
            </w:r>
            <w:r w:rsidR="00693C21" w:rsidRPr="00693C21">
              <w:rPr>
                <w:noProof/>
                <w:webHidden/>
                <w:sz w:val="18"/>
                <w:szCs w:val="20"/>
              </w:rPr>
              <w:fldChar w:fldCharType="end"/>
            </w:r>
          </w:hyperlink>
        </w:p>
        <w:p w14:paraId="729116F5" w14:textId="1E73662C"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09" w:history="1">
            <w:r w:rsidR="00693C21" w:rsidRPr="00693C21">
              <w:rPr>
                <w:rStyle w:val="Hyperlink"/>
                <w:noProof/>
                <w:sz w:val="18"/>
                <w:szCs w:val="20"/>
              </w:rPr>
              <w:t>2.3.</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Right to adapt rules &amp; regulations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_Toc128033209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12</w:t>
            </w:r>
            <w:r w:rsidR="00693C21" w:rsidRPr="00693C21">
              <w:rPr>
                <w:noProof/>
                <w:webHidden/>
                <w:sz w:val="18"/>
                <w:szCs w:val="20"/>
              </w:rPr>
              <w:fldChar w:fldCharType="end"/>
            </w:r>
          </w:hyperlink>
        </w:p>
        <w:p w14:paraId="432A99A2" w14:textId="5E6B7E86"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0" w:history="1">
            <w:r w:rsidR="00693C21" w:rsidRPr="00693C21">
              <w:rPr>
                <w:rStyle w:val="Hyperlink"/>
                <w:noProof/>
                <w:sz w:val="18"/>
                <w:szCs w:val="20"/>
              </w:rPr>
              <w:t>2.4.</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Right to deny access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_Toc128033210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12</w:t>
            </w:r>
            <w:r w:rsidR="00693C21" w:rsidRPr="00693C21">
              <w:rPr>
                <w:noProof/>
                <w:webHidden/>
                <w:sz w:val="18"/>
                <w:szCs w:val="20"/>
              </w:rPr>
              <w:fldChar w:fldCharType="end"/>
            </w:r>
          </w:hyperlink>
        </w:p>
        <w:p w14:paraId="5454B397" w14:textId="3B592B2D"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1" w:history="1">
            <w:r w:rsidR="00693C21" w:rsidRPr="00693C21">
              <w:rPr>
                <w:rStyle w:val="Hyperlink"/>
                <w:noProof/>
                <w:sz w:val="18"/>
                <w:szCs w:val="20"/>
              </w:rPr>
              <w:t>2.5.</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Unsuccessful applications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_Toc128033211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13</w:t>
            </w:r>
            <w:r w:rsidR="00693C21" w:rsidRPr="00693C21">
              <w:rPr>
                <w:noProof/>
                <w:webHidden/>
                <w:sz w:val="18"/>
                <w:szCs w:val="20"/>
              </w:rPr>
              <w:fldChar w:fldCharType="end"/>
            </w:r>
          </w:hyperlink>
        </w:p>
        <w:p w14:paraId="507A9C98" w14:textId="4F15A8E2"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2" w:history="1">
            <w:r w:rsidR="00693C21" w:rsidRPr="00693C21">
              <w:rPr>
                <w:rStyle w:val="Hyperlink"/>
                <w:noProof/>
                <w:sz w:val="18"/>
                <w:szCs w:val="20"/>
              </w:rPr>
              <w:t>2.6.</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Application processing timeframes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_Toc128033212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13</w:t>
            </w:r>
            <w:r w:rsidR="00693C21" w:rsidRPr="00693C21">
              <w:rPr>
                <w:noProof/>
                <w:webHidden/>
                <w:sz w:val="18"/>
                <w:szCs w:val="20"/>
              </w:rPr>
              <w:fldChar w:fldCharType="end"/>
            </w:r>
          </w:hyperlink>
        </w:p>
        <w:p w14:paraId="0AD64CE9" w14:textId="62A355AF"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3" w:history="1">
            <w:r w:rsidR="00693C21" w:rsidRPr="00693C21">
              <w:rPr>
                <w:rStyle w:val="Hyperlink"/>
                <w:noProof/>
                <w:sz w:val="18"/>
                <w:szCs w:val="20"/>
              </w:rPr>
              <w:t>2.7.</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Recourse for the customer</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_Toc128033213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13</w:t>
            </w:r>
            <w:r w:rsidR="00693C21" w:rsidRPr="00693C21">
              <w:rPr>
                <w:noProof/>
                <w:webHidden/>
                <w:sz w:val="18"/>
                <w:szCs w:val="20"/>
              </w:rPr>
              <w:fldChar w:fldCharType="end"/>
            </w:r>
          </w:hyperlink>
        </w:p>
        <w:p w14:paraId="5A514A61" w14:textId="2CC4EF09"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4" w:history="1">
            <w:r w:rsidR="00693C21" w:rsidRPr="00693C21">
              <w:rPr>
                <w:rStyle w:val="Hyperlink"/>
                <w:noProof/>
                <w:sz w:val="18"/>
                <w:szCs w:val="20"/>
              </w:rPr>
              <w:t>2.8.</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Contract with the municipality</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_Toc128033214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13</w:t>
            </w:r>
            <w:r w:rsidR="00693C21" w:rsidRPr="00693C21">
              <w:rPr>
                <w:noProof/>
                <w:webHidden/>
                <w:sz w:val="18"/>
                <w:szCs w:val="20"/>
              </w:rPr>
              <w:fldChar w:fldCharType="end"/>
            </w:r>
          </w:hyperlink>
        </w:p>
        <w:p w14:paraId="7B9F4CDE" w14:textId="2E44AC6C"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5" w:history="1">
            <w:r w:rsidR="00693C21" w:rsidRPr="00693C21">
              <w:rPr>
                <w:rStyle w:val="Hyperlink"/>
                <w:noProof/>
                <w:sz w:val="18"/>
                <w:szCs w:val="20"/>
              </w:rPr>
              <w:t>2.9.</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Transfer/change of ownership</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_Toc128033215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13</w:t>
            </w:r>
            <w:r w:rsidR="00693C21" w:rsidRPr="00693C21">
              <w:rPr>
                <w:noProof/>
                <w:webHidden/>
                <w:sz w:val="18"/>
                <w:szCs w:val="20"/>
              </w:rPr>
              <w:fldChar w:fldCharType="end"/>
            </w:r>
          </w:hyperlink>
        </w:p>
        <w:p w14:paraId="2954D47D" w14:textId="5E16388D"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16" w:history="1">
            <w:r w:rsidR="00693C21" w:rsidRPr="00693C21">
              <w:rPr>
                <w:rStyle w:val="Hyperlink"/>
                <w:noProof/>
                <w:sz w:val="18"/>
                <w:szCs w:val="20"/>
              </w:rPr>
              <w:t>3.</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General Guidelines - Small Scale Embedded Generators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_Toc128033216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14</w:t>
            </w:r>
            <w:r w:rsidR="00693C21" w:rsidRPr="00693C21">
              <w:rPr>
                <w:noProof/>
                <w:webHidden/>
                <w:sz w:val="18"/>
                <w:szCs w:val="20"/>
              </w:rPr>
              <w:fldChar w:fldCharType="end"/>
            </w:r>
          </w:hyperlink>
        </w:p>
        <w:p w14:paraId="3668925B" w14:textId="4658D33A"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7" w:history="1">
            <w:r w:rsidR="00693C21" w:rsidRPr="00693C21">
              <w:rPr>
                <w:rStyle w:val="Hyperlink"/>
                <w:noProof/>
                <w:sz w:val="18"/>
                <w:szCs w:val="20"/>
              </w:rPr>
              <w:t>3.1.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Registration or Generation licence</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_Toc128033217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14</w:t>
            </w:r>
            <w:r w:rsidR="00693C21" w:rsidRPr="00693C21">
              <w:rPr>
                <w:noProof/>
                <w:webHidden/>
                <w:sz w:val="18"/>
                <w:szCs w:val="20"/>
              </w:rPr>
              <w:fldChar w:fldCharType="end"/>
            </w:r>
          </w:hyperlink>
        </w:p>
        <w:p w14:paraId="64C389D1" w14:textId="583B4EAA"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8" w:history="1">
            <w:r w:rsidR="00693C21" w:rsidRPr="00693C21">
              <w:rPr>
                <w:rStyle w:val="Hyperlink"/>
                <w:noProof/>
                <w:sz w:val="18"/>
                <w:szCs w:val="20"/>
              </w:rPr>
              <w:t>3.2.</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Self-consumption vs IPPs (pure generators).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_Toc128033218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14</w:t>
            </w:r>
            <w:r w:rsidR="00693C21" w:rsidRPr="00693C21">
              <w:rPr>
                <w:noProof/>
                <w:webHidden/>
                <w:sz w:val="18"/>
                <w:szCs w:val="20"/>
              </w:rPr>
              <w:fldChar w:fldCharType="end"/>
            </w:r>
          </w:hyperlink>
        </w:p>
        <w:p w14:paraId="3C8B122F" w14:textId="634EA66A"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19" w:history="1">
            <w:r w:rsidR="00693C21" w:rsidRPr="00693C21">
              <w:rPr>
                <w:rStyle w:val="Hyperlink"/>
                <w:noProof/>
                <w:sz w:val="18"/>
                <w:szCs w:val="20"/>
              </w:rPr>
              <w:t>3.3.</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Exporting electricity</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_Toc128033219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14</w:t>
            </w:r>
            <w:r w:rsidR="00693C21" w:rsidRPr="00693C21">
              <w:rPr>
                <w:noProof/>
                <w:webHidden/>
                <w:sz w:val="18"/>
                <w:szCs w:val="20"/>
              </w:rPr>
              <w:fldChar w:fldCharType="end"/>
            </w:r>
          </w:hyperlink>
        </w:p>
        <w:p w14:paraId="3E456732" w14:textId="1E7B2E83"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20" w:history="1">
            <w:r w:rsidR="00693C21" w:rsidRPr="00693C21">
              <w:rPr>
                <w:rStyle w:val="Hyperlink"/>
                <w:noProof/>
                <w:sz w:val="18"/>
                <w:szCs w:val="20"/>
              </w:rPr>
              <w:t>3.4.</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Wheeling.</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_Toc128033220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15</w:t>
            </w:r>
            <w:r w:rsidR="00693C21" w:rsidRPr="00693C21">
              <w:rPr>
                <w:noProof/>
                <w:webHidden/>
                <w:sz w:val="18"/>
                <w:szCs w:val="20"/>
              </w:rPr>
              <w:fldChar w:fldCharType="end"/>
            </w:r>
          </w:hyperlink>
        </w:p>
        <w:p w14:paraId="0794C601" w14:textId="4CA1E502"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21" w:history="1">
            <w:r w:rsidR="00693C21" w:rsidRPr="00693C21">
              <w:rPr>
                <w:rStyle w:val="Hyperlink"/>
                <w:noProof/>
                <w:sz w:val="18"/>
                <w:szCs w:val="20"/>
              </w:rPr>
              <w:t>3.5.</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Applicable technical standards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_Toc128033221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15</w:t>
            </w:r>
            <w:r w:rsidR="00693C21" w:rsidRPr="00693C21">
              <w:rPr>
                <w:noProof/>
                <w:webHidden/>
                <w:sz w:val="18"/>
                <w:szCs w:val="20"/>
              </w:rPr>
              <w:fldChar w:fldCharType="end"/>
            </w:r>
          </w:hyperlink>
        </w:p>
        <w:p w14:paraId="717CC9DC" w14:textId="7F61150E"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22" w:history="1">
            <w:r w:rsidR="00693C21" w:rsidRPr="00693C21">
              <w:rPr>
                <w:rStyle w:val="Hyperlink"/>
                <w:noProof/>
                <w:sz w:val="18"/>
                <w:szCs w:val="20"/>
              </w:rPr>
              <w:t>3.6.</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Testing of Inverters.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_Toc128033222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16</w:t>
            </w:r>
            <w:r w:rsidR="00693C21" w:rsidRPr="00693C21">
              <w:rPr>
                <w:noProof/>
                <w:webHidden/>
                <w:sz w:val="18"/>
                <w:szCs w:val="20"/>
              </w:rPr>
              <w:fldChar w:fldCharType="end"/>
            </w:r>
          </w:hyperlink>
        </w:p>
        <w:p w14:paraId="5B58F149" w14:textId="642D3247"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23" w:history="1">
            <w:r w:rsidR="00693C21" w:rsidRPr="00693C21">
              <w:rPr>
                <w:rStyle w:val="Hyperlink"/>
                <w:noProof/>
                <w:sz w:val="18"/>
                <w:szCs w:val="20"/>
              </w:rPr>
              <w:t>3.7.</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Islanding / Anti-Islanding installations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_Toc128033223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16</w:t>
            </w:r>
            <w:r w:rsidR="00693C21" w:rsidRPr="00693C21">
              <w:rPr>
                <w:noProof/>
                <w:webHidden/>
                <w:sz w:val="18"/>
                <w:szCs w:val="20"/>
              </w:rPr>
              <w:fldChar w:fldCharType="end"/>
            </w:r>
          </w:hyperlink>
        </w:p>
        <w:p w14:paraId="7E2D5ACD" w14:textId="0136D53F"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24" w:history="1">
            <w:r w:rsidR="00693C21" w:rsidRPr="00693C21">
              <w:rPr>
                <w:rStyle w:val="Hyperlink"/>
                <w:noProof/>
                <w:sz w:val="18"/>
                <w:szCs w:val="20"/>
              </w:rPr>
              <w:t>3.8.</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Battery or other Storage.</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_Toc128033224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16</w:t>
            </w:r>
            <w:r w:rsidR="00693C21" w:rsidRPr="00693C21">
              <w:rPr>
                <w:noProof/>
                <w:webHidden/>
                <w:sz w:val="18"/>
                <w:szCs w:val="20"/>
              </w:rPr>
              <w:fldChar w:fldCharType="end"/>
            </w:r>
          </w:hyperlink>
        </w:p>
        <w:p w14:paraId="2D017025" w14:textId="40DC0B23"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25" w:history="1">
            <w:r w:rsidR="00693C21" w:rsidRPr="00693C21">
              <w:rPr>
                <w:rStyle w:val="Hyperlink"/>
                <w:noProof/>
                <w:sz w:val="18"/>
                <w:szCs w:val="20"/>
              </w:rPr>
              <w:t>3.9.</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Hybrid inverters operating in islanded (off-grid) mode.</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_Toc128033225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17</w:t>
            </w:r>
            <w:r w:rsidR="00693C21" w:rsidRPr="00693C21">
              <w:rPr>
                <w:noProof/>
                <w:webHidden/>
                <w:sz w:val="18"/>
                <w:szCs w:val="20"/>
              </w:rPr>
              <w:fldChar w:fldCharType="end"/>
            </w:r>
          </w:hyperlink>
        </w:p>
        <w:p w14:paraId="2B381715" w14:textId="5129E48A"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26" w:history="1">
            <w:r w:rsidR="00693C21" w:rsidRPr="00693C21">
              <w:rPr>
                <w:rStyle w:val="Hyperlink"/>
                <w:noProof/>
                <w:sz w:val="18"/>
                <w:szCs w:val="20"/>
              </w:rPr>
              <w:t>3.10.</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Fire safety and emergency shut-off switch</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_Toc128033226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17</w:t>
            </w:r>
            <w:r w:rsidR="00693C21" w:rsidRPr="00693C21">
              <w:rPr>
                <w:noProof/>
                <w:webHidden/>
                <w:sz w:val="18"/>
                <w:szCs w:val="20"/>
              </w:rPr>
              <w:fldChar w:fldCharType="end"/>
            </w:r>
          </w:hyperlink>
        </w:p>
        <w:p w14:paraId="21DA39BA" w14:textId="4F14A78B"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27" w:history="1">
            <w:r w:rsidR="00693C21" w:rsidRPr="00693C21">
              <w:rPr>
                <w:rStyle w:val="Hyperlink"/>
                <w:noProof/>
                <w:sz w:val="18"/>
                <w:szCs w:val="20"/>
              </w:rPr>
              <w:t>3.11.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Dead Grid safety Lock</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_Toc128033227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17</w:t>
            </w:r>
            <w:r w:rsidR="00693C21" w:rsidRPr="00693C21">
              <w:rPr>
                <w:noProof/>
                <w:webHidden/>
                <w:sz w:val="18"/>
                <w:szCs w:val="20"/>
              </w:rPr>
              <w:fldChar w:fldCharType="end"/>
            </w:r>
          </w:hyperlink>
        </w:p>
        <w:p w14:paraId="4BE557C8" w14:textId="431FEE37"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28" w:history="1">
            <w:r w:rsidR="00693C21" w:rsidRPr="00693C21">
              <w:rPr>
                <w:rStyle w:val="Hyperlink"/>
                <w:noProof/>
                <w:sz w:val="18"/>
                <w:szCs w:val="20"/>
              </w:rPr>
              <w:t>3.12.</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Qualified installers.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_Toc128033228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17</w:t>
            </w:r>
            <w:r w:rsidR="00693C21" w:rsidRPr="00693C21">
              <w:rPr>
                <w:noProof/>
                <w:webHidden/>
                <w:sz w:val="18"/>
                <w:szCs w:val="20"/>
              </w:rPr>
              <w:fldChar w:fldCharType="end"/>
            </w:r>
          </w:hyperlink>
        </w:p>
        <w:p w14:paraId="38656AE0" w14:textId="1147C5C4"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29" w:history="1">
            <w:r w:rsidR="00693C21" w:rsidRPr="00693C21">
              <w:rPr>
                <w:rStyle w:val="Hyperlink"/>
                <w:noProof/>
                <w:sz w:val="18"/>
                <w:szCs w:val="20"/>
              </w:rPr>
              <w:t>3.13.</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SSEG Sign-off on Commissioning</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_Toc128033229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17</w:t>
            </w:r>
            <w:r w:rsidR="00693C21" w:rsidRPr="00693C21">
              <w:rPr>
                <w:noProof/>
                <w:webHidden/>
                <w:sz w:val="18"/>
                <w:szCs w:val="20"/>
              </w:rPr>
              <w:fldChar w:fldCharType="end"/>
            </w:r>
          </w:hyperlink>
        </w:p>
        <w:p w14:paraId="25C1D756" w14:textId="3AF0EA87"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30" w:history="1">
            <w:r w:rsidR="00693C21" w:rsidRPr="00693C21">
              <w:rPr>
                <w:rStyle w:val="Hyperlink"/>
                <w:noProof/>
                <w:sz w:val="18"/>
                <w:szCs w:val="20"/>
              </w:rPr>
              <w:t>3.14.</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Decommission of SSEG system.</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_Toc128033230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18</w:t>
            </w:r>
            <w:r w:rsidR="00693C21" w:rsidRPr="00693C21">
              <w:rPr>
                <w:noProof/>
                <w:webHidden/>
                <w:sz w:val="18"/>
                <w:szCs w:val="20"/>
              </w:rPr>
              <w:fldChar w:fldCharType="end"/>
            </w:r>
          </w:hyperlink>
        </w:p>
        <w:p w14:paraId="186ECE6B" w14:textId="6CAF6D6E"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31" w:history="1">
            <w:r w:rsidR="00693C21" w:rsidRPr="00693C21">
              <w:rPr>
                <w:rStyle w:val="Hyperlink"/>
                <w:noProof/>
                <w:sz w:val="18"/>
                <w:szCs w:val="20"/>
              </w:rPr>
              <w:t>3.15.</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Eskom grid connection</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_Toc128033231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18</w:t>
            </w:r>
            <w:r w:rsidR="00693C21" w:rsidRPr="00693C21">
              <w:rPr>
                <w:noProof/>
                <w:webHidden/>
                <w:sz w:val="18"/>
                <w:szCs w:val="20"/>
              </w:rPr>
              <w:fldChar w:fldCharType="end"/>
            </w:r>
          </w:hyperlink>
        </w:p>
        <w:p w14:paraId="6DF19FFB" w14:textId="3CC27335"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32" w:history="1">
            <w:r w:rsidR="00693C21" w:rsidRPr="00693C21">
              <w:rPr>
                <w:rStyle w:val="Hyperlink"/>
                <w:noProof/>
                <w:sz w:val="18"/>
                <w:szCs w:val="20"/>
              </w:rPr>
              <w:t>3.16.</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SSEG applications from sub-tenants, complex residents or other non-municipal customers.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_Toc128033232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18</w:t>
            </w:r>
            <w:r w:rsidR="00693C21" w:rsidRPr="00693C21">
              <w:rPr>
                <w:noProof/>
                <w:webHidden/>
                <w:sz w:val="18"/>
                <w:szCs w:val="20"/>
              </w:rPr>
              <w:fldChar w:fldCharType="end"/>
            </w:r>
          </w:hyperlink>
        </w:p>
        <w:p w14:paraId="69935A77" w14:textId="4AA610F8"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33" w:history="1">
            <w:r w:rsidR="00693C21" w:rsidRPr="00693C21">
              <w:rPr>
                <w:rStyle w:val="Hyperlink"/>
                <w:noProof/>
                <w:sz w:val="18"/>
                <w:szCs w:val="20"/>
              </w:rPr>
              <w:t>3.17.</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Off-grid system</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_Toc128033233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18</w:t>
            </w:r>
            <w:r w:rsidR="00693C21" w:rsidRPr="00693C21">
              <w:rPr>
                <w:noProof/>
                <w:webHidden/>
                <w:sz w:val="18"/>
                <w:szCs w:val="20"/>
              </w:rPr>
              <w:fldChar w:fldCharType="end"/>
            </w:r>
          </w:hyperlink>
        </w:p>
        <w:p w14:paraId="550271DA" w14:textId="2273BDBE" w:rsidR="00693C21" w:rsidRPr="00693C21" w:rsidRDefault="001A2FBB">
          <w:pPr>
            <w:pStyle w:val="TOC2"/>
            <w:tabs>
              <w:tab w:val="left" w:pos="1000"/>
              <w:tab w:val="right" w:pos="9016"/>
            </w:tabs>
            <w:rPr>
              <w:rFonts w:asciiTheme="minorHAnsi" w:eastAsiaTheme="minorEastAsia" w:hAnsiTheme="minorHAnsi" w:cstheme="minorBidi"/>
              <w:noProof/>
              <w:szCs w:val="20"/>
              <w:lang w:eastAsia="en-ZA"/>
            </w:rPr>
          </w:pPr>
          <w:hyperlink w:anchor="_Toc128033234" w:history="1">
            <w:r w:rsidR="00693C21" w:rsidRPr="00693C21">
              <w:rPr>
                <w:rStyle w:val="Hyperlink"/>
                <w:noProof/>
                <w:sz w:val="18"/>
                <w:szCs w:val="20"/>
              </w:rPr>
              <w:t>3.18.</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Advice for the customer</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_Toc128033234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18</w:t>
            </w:r>
            <w:r w:rsidR="00693C21" w:rsidRPr="00693C21">
              <w:rPr>
                <w:noProof/>
                <w:webHidden/>
                <w:sz w:val="18"/>
                <w:szCs w:val="20"/>
              </w:rPr>
              <w:fldChar w:fldCharType="end"/>
            </w:r>
          </w:hyperlink>
        </w:p>
        <w:p w14:paraId="59D6A43E" w14:textId="7214B557" w:rsidR="00693C21" w:rsidRPr="00693C21" w:rsidRDefault="001A2FBB">
          <w:pPr>
            <w:pStyle w:val="TOC3"/>
            <w:tabs>
              <w:tab w:val="left" w:pos="1400"/>
              <w:tab w:val="right" w:pos="9016"/>
            </w:tabs>
            <w:rPr>
              <w:rFonts w:asciiTheme="minorHAnsi" w:eastAsiaTheme="minorEastAsia" w:hAnsiTheme="minorHAnsi" w:cstheme="minorBidi"/>
              <w:noProof/>
              <w:szCs w:val="20"/>
              <w:lang w:eastAsia="en-ZA"/>
            </w:rPr>
          </w:pPr>
          <w:hyperlink w:anchor="_Toc128033235" w:history="1">
            <w:r w:rsidR="00693C21" w:rsidRPr="00693C21">
              <w:rPr>
                <w:rStyle w:val="Hyperlink"/>
                <w:rFonts w:eastAsia="Arial" w:cs="Arial"/>
                <w:noProof/>
                <w:sz w:val="18"/>
                <w:szCs w:val="20"/>
              </w:rPr>
              <w:t>3.18.1.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Load profile management to maximise benefit to the customer</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_Toc128033235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18</w:t>
            </w:r>
            <w:r w:rsidR="00693C21" w:rsidRPr="00693C21">
              <w:rPr>
                <w:noProof/>
                <w:webHidden/>
                <w:sz w:val="18"/>
                <w:szCs w:val="20"/>
              </w:rPr>
              <w:fldChar w:fldCharType="end"/>
            </w:r>
          </w:hyperlink>
        </w:p>
        <w:p w14:paraId="1A67B585" w14:textId="186B61F2" w:rsidR="00693C21" w:rsidRPr="00693C21" w:rsidRDefault="001A2FBB">
          <w:pPr>
            <w:pStyle w:val="TOC3"/>
            <w:tabs>
              <w:tab w:val="left" w:pos="1400"/>
              <w:tab w:val="right" w:pos="9016"/>
            </w:tabs>
            <w:rPr>
              <w:rFonts w:asciiTheme="minorHAnsi" w:eastAsiaTheme="minorEastAsia" w:hAnsiTheme="minorHAnsi" w:cstheme="minorBidi"/>
              <w:noProof/>
              <w:szCs w:val="20"/>
              <w:lang w:eastAsia="en-ZA"/>
            </w:rPr>
          </w:pPr>
          <w:hyperlink w:anchor="_Toc128033236" w:history="1">
            <w:r w:rsidR="00693C21" w:rsidRPr="00693C21">
              <w:rPr>
                <w:rStyle w:val="Hyperlink"/>
                <w:rFonts w:eastAsia="Arial" w:cs="Arial"/>
                <w:noProof/>
                <w:sz w:val="18"/>
                <w:szCs w:val="20"/>
              </w:rPr>
              <w:t>3.18.2.</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Roof strength for PV installations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_Toc128033236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19</w:t>
            </w:r>
            <w:r w:rsidR="00693C21" w:rsidRPr="00693C21">
              <w:rPr>
                <w:noProof/>
                <w:webHidden/>
                <w:sz w:val="18"/>
                <w:szCs w:val="20"/>
              </w:rPr>
              <w:fldChar w:fldCharType="end"/>
            </w:r>
          </w:hyperlink>
        </w:p>
        <w:p w14:paraId="17AB5E60" w14:textId="10AA035E" w:rsidR="00693C21" w:rsidRPr="00693C21" w:rsidRDefault="001A2FBB">
          <w:pPr>
            <w:pStyle w:val="TOC3"/>
            <w:tabs>
              <w:tab w:val="left" w:pos="1400"/>
              <w:tab w:val="right" w:pos="9016"/>
            </w:tabs>
            <w:rPr>
              <w:rFonts w:asciiTheme="minorHAnsi" w:eastAsiaTheme="minorEastAsia" w:hAnsiTheme="minorHAnsi" w:cstheme="minorBidi"/>
              <w:noProof/>
              <w:szCs w:val="20"/>
              <w:lang w:eastAsia="en-ZA"/>
            </w:rPr>
          </w:pPr>
          <w:hyperlink w:anchor="_Toc128033237" w:history="1">
            <w:r w:rsidR="00693C21" w:rsidRPr="00693C21">
              <w:rPr>
                <w:rStyle w:val="Hyperlink"/>
                <w:rFonts w:eastAsia="Arial" w:cs="Arial"/>
                <w:noProof/>
                <w:sz w:val="18"/>
                <w:szCs w:val="20"/>
              </w:rPr>
              <w:t>3.18.3.</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Installer experience and accreditation</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_Toc128033237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19</w:t>
            </w:r>
            <w:r w:rsidR="00693C21" w:rsidRPr="00693C21">
              <w:rPr>
                <w:noProof/>
                <w:webHidden/>
                <w:sz w:val="18"/>
                <w:szCs w:val="20"/>
              </w:rPr>
              <w:fldChar w:fldCharType="end"/>
            </w:r>
          </w:hyperlink>
        </w:p>
        <w:p w14:paraId="24503F0D" w14:textId="2B93A54B"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38" w:history="1">
            <w:r w:rsidR="00693C21" w:rsidRPr="00693C21">
              <w:rPr>
                <w:rStyle w:val="Hyperlink"/>
                <w:rFonts w:eastAsia="Arial" w:cs="Arial"/>
                <w:noProof/>
                <w:sz w:val="18"/>
                <w:szCs w:val="20"/>
              </w:rPr>
              <w:t>4.</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Metering</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_Toc128033238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20</w:t>
            </w:r>
            <w:r w:rsidR="00693C21" w:rsidRPr="00693C21">
              <w:rPr>
                <w:noProof/>
                <w:webHidden/>
                <w:sz w:val="18"/>
                <w:szCs w:val="20"/>
              </w:rPr>
              <w:fldChar w:fldCharType="end"/>
            </w:r>
          </w:hyperlink>
        </w:p>
        <w:p w14:paraId="358F95B6" w14:textId="0747D514"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39" w:history="1">
            <w:r w:rsidR="00693C21" w:rsidRPr="00693C21">
              <w:rPr>
                <w:rStyle w:val="Hyperlink"/>
                <w:noProof/>
                <w:sz w:val="18"/>
                <w:szCs w:val="20"/>
              </w:rPr>
              <w:t>4.1.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Metering installation and reverse power flow/ feed-in to the municipal electrical network</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_Toc128033239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20</w:t>
            </w:r>
            <w:r w:rsidR="00693C21" w:rsidRPr="00693C21">
              <w:rPr>
                <w:noProof/>
                <w:webHidden/>
                <w:sz w:val="18"/>
                <w:szCs w:val="20"/>
              </w:rPr>
              <w:fldChar w:fldCharType="end"/>
            </w:r>
          </w:hyperlink>
        </w:p>
        <w:p w14:paraId="606F459A" w14:textId="5FF902B4"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40" w:history="1">
            <w:r w:rsidR="00693C21" w:rsidRPr="00693C21">
              <w:rPr>
                <w:rStyle w:val="Hyperlink"/>
                <w:noProof/>
                <w:sz w:val="18"/>
                <w:szCs w:val="20"/>
              </w:rPr>
              <w:t>4.2.</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Adaption of electrical metering installation</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_Toc128033240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20</w:t>
            </w:r>
            <w:r w:rsidR="00693C21" w:rsidRPr="00693C21">
              <w:rPr>
                <w:noProof/>
                <w:webHidden/>
                <w:sz w:val="18"/>
                <w:szCs w:val="20"/>
              </w:rPr>
              <w:fldChar w:fldCharType="end"/>
            </w:r>
          </w:hyperlink>
        </w:p>
        <w:p w14:paraId="27CE00A9" w14:textId="6E319449"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41" w:history="1">
            <w:r w:rsidR="00693C21" w:rsidRPr="00693C21">
              <w:rPr>
                <w:rStyle w:val="Hyperlink"/>
                <w:noProof/>
                <w:sz w:val="18"/>
                <w:szCs w:val="20"/>
              </w:rPr>
              <w:t>4.3.</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Refunds of electricity already pre-purchased</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_Toc128033241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20</w:t>
            </w:r>
            <w:r w:rsidR="00693C21" w:rsidRPr="00693C21">
              <w:rPr>
                <w:noProof/>
                <w:webHidden/>
                <w:sz w:val="18"/>
                <w:szCs w:val="20"/>
              </w:rPr>
              <w:fldChar w:fldCharType="end"/>
            </w:r>
          </w:hyperlink>
        </w:p>
        <w:p w14:paraId="24FC1376" w14:textId="7A32BA3A"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42" w:history="1">
            <w:r w:rsidR="00693C21" w:rsidRPr="00693C21">
              <w:rPr>
                <w:rStyle w:val="Hyperlink"/>
                <w:rFonts w:eastAsia="Arial" w:cs="Arial"/>
                <w:noProof/>
                <w:sz w:val="18"/>
                <w:szCs w:val="20"/>
              </w:rPr>
              <w:t>5.</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SSEG connection criteria</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_Toc128033242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21</w:t>
            </w:r>
            <w:r w:rsidR="00693C21" w:rsidRPr="00693C21">
              <w:rPr>
                <w:noProof/>
                <w:webHidden/>
                <w:sz w:val="18"/>
                <w:szCs w:val="20"/>
              </w:rPr>
              <w:fldChar w:fldCharType="end"/>
            </w:r>
          </w:hyperlink>
        </w:p>
        <w:p w14:paraId="758354F4" w14:textId="2D7FBFDD"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43" w:history="1">
            <w:r w:rsidR="00693C21" w:rsidRPr="00693C21">
              <w:rPr>
                <w:rStyle w:val="Hyperlink"/>
                <w:noProof/>
                <w:sz w:val="18"/>
                <w:szCs w:val="20"/>
              </w:rPr>
              <w:t>5.1.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Shared LV feeders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_Toc128033243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21</w:t>
            </w:r>
            <w:r w:rsidR="00693C21" w:rsidRPr="00693C21">
              <w:rPr>
                <w:noProof/>
                <w:webHidden/>
                <w:sz w:val="18"/>
                <w:szCs w:val="20"/>
              </w:rPr>
              <w:fldChar w:fldCharType="end"/>
            </w:r>
          </w:hyperlink>
        </w:p>
        <w:p w14:paraId="4A5F1298" w14:textId="07533474"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44" w:history="1">
            <w:r w:rsidR="00693C21" w:rsidRPr="00693C21">
              <w:rPr>
                <w:rStyle w:val="Hyperlink"/>
                <w:rFonts w:ascii="Symbol" w:eastAsia="Arial" w:hAnsi="Symbol" w:cs="Arial"/>
                <w:noProof/>
                <w:sz w:val="18"/>
                <w:szCs w:val="20"/>
              </w:rPr>
              <w:t></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SSEG nameplate power rating shall not exceed the consumer’s NMD (or UIC – Utility Installed Capacity)</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_Toc128033244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21</w:t>
            </w:r>
            <w:r w:rsidR="00693C21" w:rsidRPr="00693C21">
              <w:rPr>
                <w:noProof/>
                <w:webHidden/>
                <w:sz w:val="18"/>
                <w:szCs w:val="20"/>
              </w:rPr>
              <w:fldChar w:fldCharType="end"/>
            </w:r>
          </w:hyperlink>
        </w:p>
        <w:p w14:paraId="3C593819" w14:textId="492E643C"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45" w:history="1">
            <w:r w:rsidR="00693C21" w:rsidRPr="00693C21">
              <w:rPr>
                <w:rStyle w:val="Hyperlink"/>
                <w:rFonts w:ascii="Symbol" w:eastAsia="Arial" w:hAnsi="Symbol" w:cs="Arial"/>
                <w:noProof/>
                <w:sz w:val="18"/>
                <w:szCs w:val="20"/>
              </w:rPr>
              <w:t></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SSEG maximum export capacity shall not exceed 25% of the customers NMD</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_Toc128033245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21</w:t>
            </w:r>
            <w:r w:rsidR="00693C21" w:rsidRPr="00693C21">
              <w:rPr>
                <w:noProof/>
                <w:webHidden/>
                <w:sz w:val="18"/>
                <w:szCs w:val="20"/>
              </w:rPr>
              <w:fldChar w:fldCharType="end"/>
            </w:r>
          </w:hyperlink>
        </w:p>
        <w:p w14:paraId="45C9D99E" w14:textId="2AB97F4B"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46" w:history="1">
            <w:r w:rsidR="00693C21" w:rsidRPr="00693C21">
              <w:rPr>
                <w:rStyle w:val="Hyperlink"/>
                <w:rFonts w:ascii="Symbol" w:eastAsia="Arial" w:hAnsi="Symbol" w:cs="Arial"/>
                <w:noProof/>
                <w:sz w:val="18"/>
                <w:szCs w:val="20"/>
              </w:rPr>
              <w:t></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Maximum battery/storage charging current shall not exceed 25% of the NMD</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_Toc128033246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21</w:t>
            </w:r>
            <w:r w:rsidR="00693C21" w:rsidRPr="00693C21">
              <w:rPr>
                <w:noProof/>
                <w:webHidden/>
                <w:sz w:val="18"/>
                <w:szCs w:val="20"/>
              </w:rPr>
              <w:fldChar w:fldCharType="end"/>
            </w:r>
          </w:hyperlink>
        </w:p>
        <w:p w14:paraId="6BAE67A0" w14:textId="19A23F6F"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47" w:history="1">
            <w:r w:rsidR="00693C21" w:rsidRPr="00693C21">
              <w:rPr>
                <w:rStyle w:val="Hyperlink"/>
                <w:noProof/>
                <w:sz w:val="18"/>
                <w:szCs w:val="20"/>
              </w:rPr>
              <w:t>5.2.</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Dedicated LV feeders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_Toc128033247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22</w:t>
            </w:r>
            <w:r w:rsidR="00693C21" w:rsidRPr="00693C21">
              <w:rPr>
                <w:noProof/>
                <w:webHidden/>
                <w:sz w:val="18"/>
                <w:szCs w:val="20"/>
              </w:rPr>
              <w:fldChar w:fldCharType="end"/>
            </w:r>
          </w:hyperlink>
        </w:p>
        <w:p w14:paraId="1CCA4E2D" w14:textId="0D4514F2"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48" w:history="1">
            <w:r w:rsidR="00693C21" w:rsidRPr="00693C21">
              <w:rPr>
                <w:rStyle w:val="Hyperlink"/>
                <w:rFonts w:ascii="Symbol" w:eastAsia="Arial" w:hAnsi="Symbol" w:cs="Arial"/>
                <w:noProof/>
                <w:sz w:val="18"/>
                <w:szCs w:val="20"/>
              </w:rPr>
              <w:t></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SSEG nameplate power rating shall not exceed the consumer’s NMD (or UIC – Utility Installed Capacity)</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_Toc128033248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22</w:t>
            </w:r>
            <w:r w:rsidR="00693C21" w:rsidRPr="00693C21">
              <w:rPr>
                <w:noProof/>
                <w:webHidden/>
                <w:sz w:val="18"/>
                <w:szCs w:val="20"/>
              </w:rPr>
              <w:fldChar w:fldCharType="end"/>
            </w:r>
          </w:hyperlink>
        </w:p>
        <w:p w14:paraId="1825E14D" w14:textId="5C4E3EE4"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49" w:history="1">
            <w:r w:rsidR="00693C21" w:rsidRPr="00693C21">
              <w:rPr>
                <w:rStyle w:val="Hyperlink"/>
                <w:rFonts w:ascii="Symbol" w:eastAsia="Arial" w:hAnsi="Symbol" w:cs="Arial"/>
                <w:noProof/>
                <w:sz w:val="18"/>
                <w:szCs w:val="20"/>
              </w:rPr>
              <w:t></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SSEG maximum export capacity shall not exceed 75% of the customers NMD</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_Toc128033249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22</w:t>
            </w:r>
            <w:r w:rsidR="00693C21" w:rsidRPr="00693C21">
              <w:rPr>
                <w:noProof/>
                <w:webHidden/>
                <w:sz w:val="18"/>
                <w:szCs w:val="20"/>
              </w:rPr>
              <w:fldChar w:fldCharType="end"/>
            </w:r>
          </w:hyperlink>
        </w:p>
        <w:p w14:paraId="00410F5C" w14:textId="661DBD96"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50" w:history="1">
            <w:r w:rsidR="00693C21" w:rsidRPr="00693C21">
              <w:rPr>
                <w:rStyle w:val="Hyperlink"/>
                <w:rFonts w:ascii="Symbol" w:eastAsia="Arial" w:hAnsi="Symbol" w:cs="Arial"/>
                <w:noProof/>
                <w:sz w:val="18"/>
                <w:szCs w:val="20"/>
              </w:rPr>
              <w:t></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Maximum battery/storage charging current shall not exceed 25% of the NMD</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_Toc128033250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22</w:t>
            </w:r>
            <w:r w:rsidR="00693C21" w:rsidRPr="00693C21">
              <w:rPr>
                <w:noProof/>
                <w:webHidden/>
                <w:sz w:val="18"/>
                <w:szCs w:val="20"/>
              </w:rPr>
              <w:fldChar w:fldCharType="end"/>
            </w:r>
          </w:hyperlink>
        </w:p>
        <w:p w14:paraId="5AF6DB5E" w14:textId="391B0BA1"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51" w:history="1">
            <w:r w:rsidR="00693C21" w:rsidRPr="00693C21">
              <w:rPr>
                <w:rStyle w:val="Hyperlink"/>
                <w:noProof/>
                <w:sz w:val="18"/>
                <w:szCs w:val="20"/>
              </w:rPr>
              <w:t>5.3.</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Phase balancing</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_Toc128033251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23</w:t>
            </w:r>
            <w:r w:rsidR="00693C21" w:rsidRPr="00693C21">
              <w:rPr>
                <w:noProof/>
                <w:webHidden/>
                <w:sz w:val="18"/>
                <w:szCs w:val="20"/>
              </w:rPr>
              <w:fldChar w:fldCharType="end"/>
            </w:r>
          </w:hyperlink>
        </w:p>
        <w:p w14:paraId="4B4A7FAA" w14:textId="42A144C5"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52" w:history="1">
            <w:r w:rsidR="00693C21" w:rsidRPr="00693C21">
              <w:rPr>
                <w:rStyle w:val="Hyperlink"/>
                <w:noProof/>
                <w:sz w:val="18"/>
                <w:szCs w:val="20"/>
              </w:rPr>
              <w:t>5.4.</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Cumulative SSEG capacity and impact on LV and MV networks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_Toc128033252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23</w:t>
            </w:r>
            <w:r w:rsidR="00693C21" w:rsidRPr="00693C21">
              <w:rPr>
                <w:noProof/>
                <w:webHidden/>
                <w:sz w:val="18"/>
                <w:szCs w:val="20"/>
              </w:rPr>
              <w:fldChar w:fldCharType="end"/>
            </w:r>
          </w:hyperlink>
        </w:p>
        <w:p w14:paraId="04106ECF" w14:textId="369A5508"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53" w:history="1">
            <w:r w:rsidR="00693C21" w:rsidRPr="00693C21">
              <w:rPr>
                <w:rStyle w:val="Hyperlink"/>
                <w:noProof/>
                <w:sz w:val="18"/>
                <w:szCs w:val="20"/>
              </w:rPr>
              <w:t>5.5.</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Grid impact studies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_Toc128033253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23</w:t>
            </w:r>
            <w:r w:rsidR="00693C21" w:rsidRPr="00693C21">
              <w:rPr>
                <w:noProof/>
                <w:webHidden/>
                <w:sz w:val="18"/>
                <w:szCs w:val="20"/>
              </w:rPr>
              <w:fldChar w:fldCharType="end"/>
            </w:r>
          </w:hyperlink>
        </w:p>
        <w:p w14:paraId="0577AAB5" w14:textId="328DEF48"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54" w:history="1">
            <w:r w:rsidR="00693C21" w:rsidRPr="00693C21">
              <w:rPr>
                <w:rStyle w:val="Hyperlink"/>
                <w:rFonts w:eastAsia="Arial" w:cs="Arial"/>
                <w:noProof/>
                <w:sz w:val="18"/>
                <w:szCs w:val="20"/>
              </w:rPr>
              <w:t>6.</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SSEG Tariffs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_Toc128033254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24</w:t>
            </w:r>
            <w:r w:rsidR="00693C21" w:rsidRPr="00693C21">
              <w:rPr>
                <w:noProof/>
                <w:webHidden/>
                <w:sz w:val="18"/>
                <w:szCs w:val="20"/>
              </w:rPr>
              <w:fldChar w:fldCharType="end"/>
            </w:r>
          </w:hyperlink>
        </w:p>
        <w:p w14:paraId="5ADC9B5F" w14:textId="30D9FF4D"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55" w:history="1">
            <w:r w:rsidR="00693C21" w:rsidRPr="00693C21">
              <w:rPr>
                <w:rStyle w:val="Hyperlink"/>
                <w:noProof/>
                <w:sz w:val="18"/>
                <w:szCs w:val="20"/>
              </w:rPr>
              <w:t>6.1.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Residential SSEG Tariff</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_Toc128033255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24</w:t>
            </w:r>
            <w:r w:rsidR="00693C21" w:rsidRPr="00693C21">
              <w:rPr>
                <w:noProof/>
                <w:webHidden/>
                <w:sz w:val="18"/>
                <w:szCs w:val="20"/>
              </w:rPr>
              <w:fldChar w:fldCharType="end"/>
            </w:r>
          </w:hyperlink>
        </w:p>
        <w:p w14:paraId="5C417F80" w14:textId="148DAF3B"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56" w:history="1">
            <w:r w:rsidR="00693C21" w:rsidRPr="00693C21">
              <w:rPr>
                <w:rStyle w:val="Hyperlink"/>
                <w:noProof/>
                <w:sz w:val="18"/>
                <w:szCs w:val="20"/>
              </w:rPr>
              <w:t>6.2.</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Commercial and Industrial SSEG Tariff</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_Toc128033256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24</w:t>
            </w:r>
            <w:r w:rsidR="00693C21" w:rsidRPr="00693C21">
              <w:rPr>
                <w:noProof/>
                <w:webHidden/>
                <w:sz w:val="18"/>
                <w:szCs w:val="20"/>
              </w:rPr>
              <w:fldChar w:fldCharType="end"/>
            </w:r>
          </w:hyperlink>
        </w:p>
        <w:p w14:paraId="57C5323B" w14:textId="52BE9E04"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57" w:history="1">
            <w:r w:rsidR="00693C21" w:rsidRPr="00693C21">
              <w:rPr>
                <w:rStyle w:val="Hyperlink"/>
                <w:noProof/>
                <w:sz w:val="18"/>
                <w:szCs w:val="20"/>
              </w:rPr>
              <w:t>6.3.</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Billing Period</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_Toc128033257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25</w:t>
            </w:r>
            <w:r w:rsidR="00693C21" w:rsidRPr="00693C21">
              <w:rPr>
                <w:noProof/>
                <w:webHidden/>
                <w:sz w:val="18"/>
                <w:szCs w:val="20"/>
              </w:rPr>
              <w:fldChar w:fldCharType="end"/>
            </w:r>
          </w:hyperlink>
        </w:p>
        <w:p w14:paraId="4324EE61" w14:textId="40624D8C"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58" w:history="1">
            <w:r w:rsidR="00693C21" w:rsidRPr="00693C21">
              <w:rPr>
                <w:rStyle w:val="Hyperlink"/>
                <w:noProof/>
                <w:sz w:val="18"/>
                <w:szCs w:val="20"/>
              </w:rPr>
              <w:t>6.4.</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Connection Costs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_Toc128033258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25</w:t>
            </w:r>
            <w:r w:rsidR="00693C21" w:rsidRPr="00693C21">
              <w:rPr>
                <w:noProof/>
                <w:webHidden/>
                <w:sz w:val="18"/>
                <w:szCs w:val="20"/>
              </w:rPr>
              <w:fldChar w:fldCharType="end"/>
            </w:r>
          </w:hyperlink>
        </w:p>
        <w:p w14:paraId="7AD9DD1F" w14:textId="00602D48"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59" w:history="1">
            <w:r w:rsidR="00693C21" w:rsidRPr="00693C21">
              <w:rPr>
                <w:rStyle w:val="Hyperlink"/>
                <w:noProof/>
                <w:sz w:val="18"/>
                <w:szCs w:val="20"/>
              </w:rPr>
              <w:t>6.5.</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Increased Costs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_Toc128033259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25</w:t>
            </w:r>
            <w:r w:rsidR="00693C21" w:rsidRPr="00693C21">
              <w:rPr>
                <w:noProof/>
                <w:webHidden/>
                <w:sz w:val="18"/>
                <w:szCs w:val="20"/>
              </w:rPr>
              <w:fldChar w:fldCharType="end"/>
            </w:r>
          </w:hyperlink>
        </w:p>
        <w:p w14:paraId="1304DEF5" w14:textId="32EA74AF"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60" w:history="1">
            <w:r w:rsidR="00693C21" w:rsidRPr="00693C21">
              <w:rPr>
                <w:rStyle w:val="Hyperlink"/>
                <w:noProof/>
                <w:sz w:val="18"/>
                <w:szCs w:val="20"/>
              </w:rPr>
              <w:t>6.6.</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Time-of-Use Tariffs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_Toc128033260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25</w:t>
            </w:r>
            <w:r w:rsidR="00693C21" w:rsidRPr="00693C21">
              <w:rPr>
                <w:noProof/>
                <w:webHidden/>
                <w:sz w:val="18"/>
                <w:szCs w:val="20"/>
              </w:rPr>
              <w:fldChar w:fldCharType="end"/>
            </w:r>
          </w:hyperlink>
        </w:p>
        <w:p w14:paraId="3CEA17AC" w14:textId="586C8DA8"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61" w:history="1">
            <w:r w:rsidR="00693C21" w:rsidRPr="00693C21">
              <w:rPr>
                <w:rStyle w:val="Hyperlink"/>
                <w:rFonts w:eastAsia="Arial" w:cs="Arial"/>
                <w:noProof/>
                <w:sz w:val="18"/>
                <w:szCs w:val="20"/>
              </w:rPr>
              <w:t>7.</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Approvals required from other municipal departments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_Toc128033261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25</w:t>
            </w:r>
            <w:r w:rsidR="00693C21" w:rsidRPr="00693C21">
              <w:rPr>
                <w:noProof/>
                <w:webHidden/>
                <w:sz w:val="18"/>
                <w:szCs w:val="20"/>
              </w:rPr>
              <w:fldChar w:fldCharType="end"/>
            </w:r>
          </w:hyperlink>
        </w:p>
        <w:p w14:paraId="7B9B03F0" w14:textId="5EE2F7BA"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62" w:history="1">
            <w:r w:rsidR="00693C21" w:rsidRPr="00693C21">
              <w:rPr>
                <w:rStyle w:val="Hyperlink"/>
                <w:noProof/>
                <w:sz w:val="18"/>
                <w:szCs w:val="20"/>
              </w:rPr>
              <w:t>7.1.</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Buildings/Planning department</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_Toc128033262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25</w:t>
            </w:r>
            <w:r w:rsidR="00693C21" w:rsidRPr="00693C21">
              <w:rPr>
                <w:noProof/>
                <w:webHidden/>
                <w:sz w:val="18"/>
                <w:szCs w:val="20"/>
              </w:rPr>
              <w:fldChar w:fldCharType="end"/>
            </w:r>
          </w:hyperlink>
        </w:p>
        <w:p w14:paraId="04F301F5" w14:textId="38FB4C19" w:rsidR="00693C21" w:rsidRPr="00693C21" w:rsidRDefault="001A2FBB">
          <w:pPr>
            <w:pStyle w:val="TOC2"/>
            <w:tabs>
              <w:tab w:val="left" w:pos="800"/>
              <w:tab w:val="right" w:pos="9016"/>
            </w:tabs>
            <w:rPr>
              <w:rFonts w:asciiTheme="minorHAnsi" w:eastAsiaTheme="minorEastAsia" w:hAnsiTheme="minorHAnsi" w:cstheme="minorBidi"/>
              <w:noProof/>
              <w:szCs w:val="20"/>
              <w:lang w:eastAsia="en-ZA"/>
            </w:rPr>
          </w:pPr>
          <w:hyperlink w:anchor="_Toc128033263" w:history="1">
            <w:r w:rsidR="00693C21" w:rsidRPr="00693C21">
              <w:rPr>
                <w:rStyle w:val="Hyperlink"/>
                <w:noProof/>
                <w:sz w:val="18"/>
                <w:szCs w:val="20"/>
              </w:rPr>
              <w:t>7.2.</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Other Approvals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_Toc128033263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25</w:t>
            </w:r>
            <w:r w:rsidR="00693C21" w:rsidRPr="00693C21">
              <w:rPr>
                <w:noProof/>
                <w:webHidden/>
                <w:sz w:val="18"/>
                <w:szCs w:val="20"/>
              </w:rPr>
              <w:fldChar w:fldCharType="end"/>
            </w:r>
          </w:hyperlink>
        </w:p>
        <w:p w14:paraId="799EB98A" w14:textId="293D5C07"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64" w:history="1">
            <w:r w:rsidR="00693C21" w:rsidRPr="00693C21">
              <w:rPr>
                <w:rStyle w:val="Hyperlink"/>
                <w:rFonts w:eastAsia="Arial" w:cs="Arial"/>
                <w:noProof/>
                <w:sz w:val="18"/>
                <w:szCs w:val="20"/>
              </w:rPr>
              <w:t>8.</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What payments may be due by the customer?</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_Toc128033264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25</w:t>
            </w:r>
            <w:r w:rsidR="00693C21" w:rsidRPr="00693C21">
              <w:rPr>
                <w:noProof/>
                <w:webHidden/>
                <w:sz w:val="18"/>
                <w:szCs w:val="20"/>
              </w:rPr>
              <w:fldChar w:fldCharType="end"/>
            </w:r>
          </w:hyperlink>
        </w:p>
        <w:p w14:paraId="5940E369" w14:textId="30CD5E0E" w:rsidR="00693C21" w:rsidRPr="00693C21" w:rsidRDefault="001A2FBB">
          <w:pPr>
            <w:pStyle w:val="TOC1"/>
            <w:tabs>
              <w:tab w:val="left" w:pos="403"/>
              <w:tab w:val="right" w:pos="9016"/>
            </w:tabs>
            <w:rPr>
              <w:rFonts w:asciiTheme="minorHAnsi" w:eastAsiaTheme="minorEastAsia" w:hAnsiTheme="minorHAnsi" w:cstheme="minorBidi"/>
              <w:noProof/>
              <w:szCs w:val="20"/>
              <w:lang w:eastAsia="en-ZA"/>
            </w:rPr>
          </w:pPr>
          <w:hyperlink w:anchor="_Toc128033265" w:history="1">
            <w:r w:rsidR="00693C21" w:rsidRPr="00693C21">
              <w:rPr>
                <w:rStyle w:val="Hyperlink"/>
                <w:rFonts w:eastAsia="Arial" w:cs="Arial"/>
                <w:noProof/>
                <w:sz w:val="18"/>
                <w:szCs w:val="20"/>
              </w:rPr>
              <w:t>9.</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SSEG application process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_Toc128033265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26</w:t>
            </w:r>
            <w:r w:rsidR="00693C21" w:rsidRPr="00693C21">
              <w:rPr>
                <w:noProof/>
                <w:webHidden/>
                <w:sz w:val="18"/>
                <w:szCs w:val="20"/>
              </w:rPr>
              <w:fldChar w:fldCharType="end"/>
            </w:r>
          </w:hyperlink>
        </w:p>
        <w:p w14:paraId="29610BC9" w14:textId="31C4042A" w:rsidR="00693C21" w:rsidRPr="00693C21" w:rsidRDefault="001A2FBB">
          <w:pPr>
            <w:pStyle w:val="TOC1"/>
            <w:tabs>
              <w:tab w:val="left" w:pos="601"/>
              <w:tab w:val="right" w:pos="9016"/>
            </w:tabs>
            <w:rPr>
              <w:rFonts w:asciiTheme="minorHAnsi" w:eastAsiaTheme="minorEastAsia" w:hAnsiTheme="minorHAnsi" w:cstheme="minorBidi"/>
              <w:noProof/>
              <w:szCs w:val="20"/>
              <w:lang w:eastAsia="en-ZA"/>
            </w:rPr>
          </w:pPr>
          <w:hyperlink w:anchor="_Toc128033266" w:history="1">
            <w:r w:rsidR="00693C21" w:rsidRPr="00693C21">
              <w:rPr>
                <w:rStyle w:val="Hyperlink"/>
                <w:rFonts w:eastAsia="Arial" w:cs="Arial"/>
                <w:noProof/>
                <w:sz w:val="18"/>
                <w:szCs w:val="20"/>
              </w:rPr>
              <w:t>10.</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Changes to existing approved systems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_Toc128033266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27</w:t>
            </w:r>
            <w:r w:rsidR="00693C21" w:rsidRPr="00693C21">
              <w:rPr>
                <w:noProof/>
                <w:webHidden/>
                <w:sz w:val="18"/>
                <w:szCs w:val="20"/>
              </w:rPr>
              <w:fldChar w:fldCharType="end"/>
            </w:r>
          </w:hyperlink>
        </w:p>
        <w:p w14:paraId="0B0DF34B" w14:textId="2248EE75" w:rsidR="00693C21" w:rsidRPr="00693C21" w:rsidRDefault="001A2FBB">
          <w:pPr>
            <w:pStyle w:val="TOC1"/>
            <w:tabs>
              <w:tab w:val="left" w:pos="601"/>
              <w:tab w:val="right" w:pos="9016"/>
            </w:tabs>
            <w:rPr>
              <w:rFonts w:asciiTheme="minorHAnsi" w:eastAsiaTheme="minorEastAsia" w:hAnsiTheme="minorHAnsi" w:cstheme="minorBidi"/>
              <w:noProof/>
              <w:szCs w:val="20"/>
              <w:lang w:eastAsia="en-ZA"/>
            </w:rPr>
          </w:pPr>
          <w:hyperlink w:anchor="_Toc128033267" w:history="1">
            <w:r w:rsidR="00693C21" w:rsidRPr="00693C21">
              <w:rPr>
                <w:rStyle w:val="Hyperlink"/>
                <w:rFonts w:eastAsia="Arial" w:cs="Arial"/>
                <w:noProof/>
                <w:sz w:val="18"/>
                <w:szCs w:val="20"/>
              </w:rPr>
              <w:t>11.</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ANNEX A: Grid Impact Study Overview</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_Toc128033267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29</w:t>
            </w:r>
            <w:r w:rsidR="00693C21" w:rsidRPr="00693C21">
              <w:rPr>
                <w:noProof/>
                <w:webHidden/>
                <w:sz w:val="18"/>
                <w:szCs w:val="20"/>
              </w:rPr>
              <w:fldChar w:fldCharType="end"/>
            </w:r>
          </w:hyperlink>
        </w:p>
        <w:p w14:paraId="313B2C7C" w14:textId="1020FCC3" w:rsidR="00693C21" w:rsidRPr="00693C21" w:rsidRDefault="001A2FBB">
          <w:pPr>
            <w:pStyle w:val="TOC2"/>
            <w:tabs>
              <w:tab w:val="left" w:pos="601"/>
              <w:tab w:val="right" w:pos="9016"/>
            </w:tabs>
            <w:rPr>
              <w:rFonts w:asciiTheme="minorHAnsi" w:eastAsiaTheme="minorEastAsia" w:hAnsiTheme="minorHAnsi" w:cstheme="minorBidi"/>
              <w:noProof/>
              <w:szCs w:val="20"/>
              <w:lang w:eastAsia="en-ZA"/>
            </w:rPr>
          </w:pPr>
          <w:hyperlink w:anchor="_Toc128033268" w:history="1">
            <w:r w:rsidR="00693C21" w:rsidRPr="00693C21">
              <w:rPr>
                <w:rStyle w:val="Hyperlink"/>
                <w:rFonts w:ascii="Courier New" w:eastAsia="Courier New" w:hAnsi="Courier New" w:cs="Courier New"/>
                <w:noProof/>
                <w:sz w:val="18"/>
                <w:szCs w:val="20"/>
              </w:rPr>
              <w:t>o</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General grid impact studies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_Toc128033268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29</w:t>
            </w:r>
            <w:r w:rsidR="00693C21" w:rsidRPr="00693C21">
              <w:rPr>
                <w:noProof/>
                <w:webHidden/>
                <w:sz w:val="18"/>
                <w:szCs w:val="20"/>
              </w:rPr>
              <w:fldChar w:fldCharType="end"/>
            </w:r>
          </w:hyperlink>
        </w:p>
        <w:p w14:paraId="46265947" w14:textId="22484A6C" w:rsidR="00693C21" w:rsidRPr="00693C21" w:rsidRDefault="001A2FBB">
          <w:pPr>
            <w:pStyle w:val="TOC2"/>
            <w:tabs>
              <w:tab w:val="left" w:pos="601"/>
              <w:tab w:val="right" w:pos="9016"/>
            </w:tabs>
            <w:rPr>
              <w:rFonts w:asciiTheme="minorHAnsi" w:eastAsiaTheme="minorEastAsia" w:hAnsiTheme="minorHAnsi" w:cstheme="minorBidi"/>
              <w:noProof/>
              <w:szCs w:val="20"/>
              <w:lang w:eastAsia="en-ZA"/>
            </w:rPr>
          </w:pPr>
          <w:hyperlink w:anchor="_Toc128033269" w:history="1">
            <w:r w:rsidR="00693C21" w:rsidRPr="00693C21">
              <w:rPr>
                <w:rStyle w:val="Hyperlink"/>
                <w:rFonts w:ascii="Courier New" w:eastAsia="Courier New" w:hAnsi="Courier New" w:cs="Courier New"/>
                <w:noProof/>
                <w:sz w:val="18"/>
                <w:szCs w:val="20"/>
              </w:rPr>
              <w:t>o</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Requirements for more complex Grid Impact Studies</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_Toc128033269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29</w:t>
            </w:r>
            <w:r w:rsidR="00693C21" w:rsidRPr="00693C21">
              <w:rPr>
                <w:noProof/>
                <w:webHidden/>
                <w:sz w:val="18"/>
                <w:szCs w:val="20"/>
              </w:rPr>
              <w:fldChar w:fldCharType="end"/>
            </w:r>
          </w:hyperlink>
        </w:p>
        <w:p w14:paraId="483BD687" w14:textId="1A300D6D" w:rsidR="00693C21" w:rsidRPr="00693C21" w:rsidRDefault="001A2FBB">
          <w:pPr>
            <w:pStyle w:val="TOC2"/>
            <w:tabs>
              <w:tab w:val="left" w:pos="601"/>
              <w:tab w:val="right" w:pos="9016"/>
            </w:tabs>
            <w:rPr>
              <w:rFonts w:asciiTheme="minorHAnsi" w:eastAsiaTheme="minorEastAsia" w:hAnsiTheme="minorHAnsi" w:cstheme="minorBidi"/>
              <w:noProof/>
              <w:szCs w:val="20"/>
              <w:lang w:eastAsia="en-ZA"/>
            </w:rPr>
          </w:pPr>
          <w:hyperlink w:anchor="_Toc128033270" w:history="1">
            <w:r w:rsidR="00693C21" w:rsidRPr="00693C21">
              <w:rPr>
                <w:rStyle w:val="Hyperlink"/>
                <w:rFonts w:ascii="Courier New" w:eastAsia="Courier New" w:hAnsi="Courier New" w:cs="Courier New"/>
                <w:noProof/>
                <w:sz w:val="18"/>
                <w:szCs w:val="20"/>
              </w:rPr>
              <w:t>o</w:t>
            </w:r>
            <w:r w:rsidR="00693C21" w:rsidRPr="00693C21">
              <w:rPr>
                <w:rFonts w:asciiTheme="minorHAnsi" w:eastAsiaTheme="minorEastAsia" w:hAnsiTheme="minorHAnsi" w:cstheme="minorBidi"/>
                <w:noProof/>
                <w:szCs w:val="20"/>
                <w:lang w:eastAsia="en-ZA"/>
              </w:rPr>
              <w:tab/>
            </w:r>
            <w:r w:rsidR="00693C21" w:rsidRPr="00693C21">
              <w:rPr>
                <w:rStyle w:val="Hyperlink"/>
                <w:noProof/>
                <w:sz w:val="18"/>
                <w:szCs w:val="20"/>
              </w:rPr>
              <w:t>Grid Impact Study Specification Guide</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_Toc128033270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30</w:t>
            </w:r>
            <w:r w:rsidR="00693C21" w:rsidRPr="00693C21">
              <w:rPr>
                <w:noProof/>
                <w:webHidden/>
                <w:sz w:val="18"/>
                <w:szCs w:val="20"/>
              </w:rPr>
              <w:fldChar w:fldCharType="end"/>
            </w:r>
          </w:hyperlink>
        </w:p>
        <w:p w14:paraId="3AA1DBCD" w14:textId="2ABFB5F3" w:rsidR="00693C21" w:rsidRPr="00693C21" w:rsidRDefault="001A2FBB">
          <w:pPr>
            <w:pStyle w:val="TOC1"/>
            <w:tabs>
              <w:tab w:val="left" w:pos="601"/>
              <w:tab w:val="right" w:pos="9016"/>
            </w:tabs>
            <w:rPr>
              <w:rFonts w:asciiTheme="minorHAnsi" w:eastAsiaTheme="minorEastAsia" w:hAnsiTheme="minorHAnsi" w:cstheme="minorBidi"/>
              <w:noProof/>
              <w:szCs w:val="20"/>
              <w:lang w:eastAsia="en-ZA"/>
            </w:rPr>
          </w:pPr>
          <w:hyperlink w:anchor="_Toc128033271" w:history="1">
            <w:r w:rsidR="00693C21" w:rsidRPr="00693C21">
              <w:rPr>
                <w:rStyle w:val="Hyperlink"/>
                <w:rFonts w:eastAsia="Arial" w:cs="Arial"/>
                <w:noProof/>
                <w:sz w:val="18"/>
                <w:szCs w:val="20"/>
              </w:rPr>
              <w:t>12.</w:t>
            </w:r>
            <w:r w:rsidR="00693C21" w:rsidRPr="00693C21">
              <w:rPr>
                <w:rFonts w:asciiTheme="minorHAnsi" w:eastAsiaTheme="minorEastAsia" w:hAnsiTheme="minorHAnsi" w:cstheme="minorBidi"/>
                <w:noProof/>
                <w:szCs w:val="20"/>
                <w:lang w:eastAsia="en-ZA"/>
              </w:rPr>
              <w:tab/>
            </w:r>
            <w:r w:rsidR="00693C21" w:rsidRPr="00693C21">
              <w:rPr>
                <w:rStyle w:val="Hyperlink"/>
                <w:rFonts w:eastAsia="Arial" w:cs="Arial"/>
                <w:noProof/>
                <w:sz w:val="18"/>
                <w:szCs w:val="20"/>
              </w:rPr>
              <w:t>ANNEX B: New Owner/Account Holder Declaration</w:t>
            </w:r>
            <w:r w:rsidR="00693C21" w:rsidRPr="00693C21">
              <w:rPr>
                <w:noProof/>
                <w:webHidden/>
                <w:sz w:val="18"/>
                <w:szCs w:val="20"/>
              </w:rPr>
              <w:tab/>
            </w:r>
            <w:r w:rsidR="00693C21" w:rsidRPr="00693C21">
              <w:rPr>
                <w:noProof/>
                <w:webHidden/>
                <w:sz w:val="18"/>
                <w:szCs w:val="20"/>
              </w:rPr>
              <w:fldChar w:fldCharType="begin"/>
            </w:r>
            <w:r w:rsidR="00693C21" w:rsidRPr="00693C21">
              <w:rPr>
                <w:noProof/>
                <w:webHidden/>
                <w:sz w:val="18"/>
                <w:szCs w:val="20"/>
              </w:rPr>
              <w:instrText xml:space="preserve"> PAGEREF _Toc128033271 \h </w:instrText>
            </w:r>
            <w:r w:rsidR="00693C21" w:rsidRPr="00693C21">
              <w:rPr>
                <w:noProof/>
                <w:webHidden/>
                <w:sz w:val="18"/>
                <w:szCs w:val="20"/>
              </w:rPr>
            </w:r>
            <w:r w:rsidR="00693C21" w:rsidRPr="00693C21">
              <w:rPr>
                <w:noProof/>
                <w:webHidden/>
                <w:sz w:val="18"/>
                <w:szCs w:val="20"/>
              </w:rPr>
              <w:fldChar w:fldCharType="separate"/>
            </w:r>
            <w:r w:rsidR="00693C21" w:rsidRPr="00693C21">
              <w:rPr>
                <w:noProof/>
                <w:webHidden/>
                <w:sz w:val="18"/>
                <w:szCs w:val="20"/>
              </w:rPr>
              <w:t>31</w:t>
            </w:r>
            <w:r w:rsidR="00693C21" w:rsidRPr="00693C21">
              <w:rPr>
                <w:noProof/>
                <w:webHidden/>
                <w:sz w:val="18"/>
                <w:szCs w:val="20"/>
              </w:rPr>
              <w:fldChar w:fldCharType="end"/>
            </w:r>
          </w:hyperlink>
        </w:p>
        <w:p w14:paraId="43FC3F66" w14:textId="6E7A0A62" w:rsidR="009045EB" w:rsidRPr="005802F5" w:rsidRDefault="0072593A">
          <w:pPr>
            <w:spacing w:line="360" w:lineRule="auto"/>
            <w:rPr>
              <w:rFonts w:ascii="Arial" w:eastAsia="Arial" w:hAnsi="Arial" w:cs="Arial"/>
              <w:sz w:val="18"/>
              <w:szCs w:val="22"/>
            </w:rPr>
          </w:pPr>
          <w:r w:rsidRPr="00693C21">
            <w:rPr>
              <w:sz w:val="16"/>
              <w:szCs w:val="20"/>
            </w:rPr>
            <w:fldChar w:fldCharType="end"/>
          </w:r>
        </w:p>
      </w:sdtContent>
    </w:sdt>
    <w:p w14:paraId="5973F5A0" w14:textId="77777777" w:rsidR="00ED39CC" w:rsidRPr="005D633D" w:rsidRDefault="00ED39CC" w:rsidP="005D633D">
      <w:pPr>
        <w:pStyle w:val="BodyText"/>
        <w:rPr>
          <w:rFonts w:ascii="Arial" w:hAnsi="Arial" w:cs="Arial"/>
          <w:lang w:val="en-GB"/>
        </w:rPr>
      </w:pPr>
    </w:p>
    <w:p w14:paraId="43FC3F68" w14:textId="77777777" w:rsidR="009045EB" w:rsidRDefault="0072593A">
      <w:pPr>
        <w:spacing w:line="360" w:lineRule="auto"/>
        <w:rPr>
          <w:rFonts w:ascii="Arial" w:eastAsia="Arial" w:hAnsi="Arial" w:cs="Arial"/>
          <w:color w:val="1C4C65"/>
        </w:rPr>
      </w:pPr>
      <w:r>
        <w:rPr>
          <w:rFonts w:ascii="Arial" w:eastAsia="Arial" w:hAnsi="Arial" w:cs="Arial"/>
          <w:color w:val="1C4C65"/>
          <w:sz w:val="28"/>
          <w:szCs w:val="28"/>
        </w:rPr>
        <w:t>Disclaimer and Indemnity</w:t>
      </w:r>
    </w:p>
    <w:p w14:paraId="43FC3F69" w14:textId="621B6233" w:rsidR="009045EB" w:rsidRDefault="0072593A">
      <w:pPr>
        <w:pBdr>
          <w:top w:val="nil"/>
          <w:left w:val="nil"/>
          <w:bottom w:val="nil"/>
          <w:right w:val="nil"/>
          <w:between w:val="nil"/>
        </w:pBdr>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The information contained in this document is for information purposes only and to guide stakeholders regarding the requirements and application </w:t>
      </w:r>
      <w:r w:rsidR="00FD0200">
        <w:rPr>
          <w:rFonts w:ascii="Arial" w:eastAsia="Arial" w:hAnsi="Arial" w:cs="Arial"/>
          <w:color w:val="000000"/>
          <w:sz w:val="18"/>
          <w:szCs w:val="18"/>
        </w:rPr>
        <w:t>process of the Municipality of Makana</w:t>
      </w:r>
      <w:r>
        <w:rPr>
          <w:rFonts w:ascii="Arial" w:eastAsia="Arial" w:hAnsi="Arial" w:cs="Arial"/>
          <w:color w:val="000000"/>
          <w:sz w:val="18"/>
          <w:szCs w:val="18"/>
        </w:rPr>
        <w:t xml:space="preserve"> in connecting embedded generation to the municipal electricity network. The opinions expressed are in good faith and while every care has been taken in preparing this document, and the authors make no representations and give no warranties of whatever nature in respect of these documents, including but not limited to the accuracy or completeness of any information, facts and/or opinions contained therein.</w:t>
      </w:r>
    </w:p>
    <w:p w14:paraId="43FC3F6A" w14:textId="76F67351"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noProof/>
        </w:rPr>
        <w:drawing>
          <wp:anchor distT="0" distB="0" distL="0" distR="0" simplePos="0" relativeHeight="251646976" behindDoc="1" locked="0" layoutInCell="1" hidden="0" allowOverlap="1" wp14:anchorId="43FC42A9" wp14:editId="67B2E59B">
            <wp:simplePos x="0" y="0"/>
            <wp:positionH relativeFrom="column">
              <wp:posOffset>4500880</wp:posOffset>
            </wp:positionH>
            <wp:positionV relativeFrom="paragraph">
              <wp:posOffset>15240</wp:posOffset>
            </wp:positionV>
            <wp:extent cx="1739900" cy="2438400"/>
            <wp:effectExtent l="0" t="0" r="0" b="0"/>
            <wp:wrapNone/>
            <wp:docPr id="10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739900" cy="2438400"/>
                    </a:xfrm>
                    <a:prstGeom prst="rect">
                      <a:avLst/>
                    </a:prstGeom>
                    <a:ln/>
                  </pic:spPr>
                </pic:pic>
              </a:graphicData>
            </a:graphic>
          </wp:anchor>
        </w:drawing>
      </w:r>
    </w:p>
    <w:p w14:paraId="43FC3F6B" w14:textId="29F7E553" w:rsidR="009045EB" w:rsidRDefault="001667BC">
      <w:pPr>
        <w:spacing w:line="276" w:lineRule="auto"/>
        <w:rPr>
          <w:rFonts w:ascii="Arial" w:eastAsia="Arial" w:hAnsi="Arial" w:cs="Arial"/>
          <w:color w:val="000000"/>
        </w:rPr>
      </w:pPr>
      <w:r>
        <w:rPr>
          <w:noProof/>
        </w:rPr>
        <w:drawing>
          <wp:anchor distT="0" distB="0" distL="0" distR="0" simplePos="0" relativeHeight="251680768" behindDoc="1" locked="0" layoutInCell="1" hidden="0" allowOverlap="1" wp14:anchorId="2625779F" wp14:editId="066AD9C5">
            <wp:simplePos x="0" y="0"/>
            <wp:positionH relativeFrom="column">
              <wp:posOffset>0</wp:posOffset>
            </wp:positionH>
            <wp:positionV relativeFrom="paragraph">
              <wp:posOffset>189865</wp:posOffset>
            </wp:positionV>
            <wp:extent cx="4819015" cy="3203575"/>
            <wp:effectExtent l="190500" t="190500" r="190500" b="190500"/>
            <wp:wrapNone/>
            <wp:docPr id="103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4819015" cy="3203575"/>
                    </a:xfrm>
                    <a:prstGeom prst="rect">
                      <a:avLst/>
                    </a:prstGeom>
                    <a:ln w="190500">
                      <a:solidFill>
                        <a:srgbClr val="FFFFFF"/>
                      </a:solidFill>
                      <a:prstDash val="solid"/>
                    </a:ln>
                  </pic:spPr>
                </pic:pic>
              </a:graphicData>
            </a:graphic>
          </wp:anchor>
        </w:drawing>
      </w:r>
      <w:r w:rsidR="0072593A">
        <w:br w:type="page"/>
      </w:r>
      <w:r w:rsidR="0072593A">
        <w:rPr>
          <w:noProof/>
        </w:rPr>
        <w:drawing>
          <wp:anchor distT="0" distB="0" distL="0" distR="0" simplePos="0" relativeHeight="251649024" behindDoc="1" locked="0" layoutInCell="1" hidden="0" allowOverlap="1" wp14:anchorId="43FC42AD" wp14:editId="43FC42AE">
            <wp:simplePos x="0" y="0"/>
            <wp:positionH relativeFrom="column">
              <wp:posOffset>-438149</wp:posOffset>
            </wp:positionH>
            <wp:positionV relativeFrom="paragraph">
              <wp:posOffset>2528570</wp:posOffset>
            </wp:positionV>
            <wp:extent cx="1261745" cy="1768475"/>
            <wp:effectExtent l="0" t="0" r="0" b="0"/>
            <wp:wrapNone/>
            <wp:docPr id="10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10800000">
                      <a:off x="0" y="0"/>
                      <a:ext cx="1261745" cy="1768475"/>
                    </a:xfrm>
                    <a:prstGeom prst="rect">
                      <a:avLst/>
                    </a:prstGeom>
                    <a:ln/>
                  </pic:spPr>
                </pic:pic>
              </a:graphicData>
            </a:graphic>
          </wp:anchor>
        </w:drawing>
      </w:r>
    </w:p>
    <w:p w14:paraId="43FC3F6C"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3F6D" w14:textId="77777777" w:rsidR="009045EB" w:rsidRDefault="0072593A">
      <w:pPr>
        <w:pBdr>
          <w:top w:val="nil"/>
          <w:left w:val="nil"/>
          <w:bottom w:val="nil"/>
          <w:right w:val="nil"/>
          <w:between w:val="nil"/>
        </w:pBdr>
        <w:spacing w:line="276" w:lineRule="auto"/>
        <w:jc w:val="both"/>
        <w:rPr>
          <w:rFonts w:ascii="Arial" w:eastAsia="Arial" w:hAnsi="Arial" w:cs="Arial"/>
          <w:color w:val="1C4C65"/>
          <w:sz w:val="28"/>
          <w:szCs w:val="28"/>
        </w:rPr>
      </w:pPr>
      <w:r>
        <w:rPr>
          <w:rFonts w:ascii="Arial" w:eastAsia="Arial" w:hAnsi="Arial" w:cs="Arial"/>
          <w:color w:val="1C4C65"/>
          <w:sz w:val="28"/>
          <w:szCs w:val="28"/>
        </w:rPr>
        <w:t>Acknowledgements</w:t>
      </w:r>
    </w:p>
    <w:p w14:paraId="43FC3F6E" w14:textId="77777777" w:rsidR="009045EB" w:rsidRDefault="009045EB">
      <w:pPr>
        <w:pBdr>
          <w:top w:val="nil"/>
          <w:left w:val="nil"/>
          <w:bottom w:val="nil"/>
          <w:right w:val="nil"/>
          <w:between w:val="nil"/>
        </w:pBdr>
        <w:spacing w:line="276" w:lineRule="auto"/>
        <w:jc w:val="both"/>
        <w:rPr>
          <w:rFonts w:ascii="Arial" w:eastAsia="Arial" w:hAnsi="Arial" w:cs="Arial"/>
          <w:color w:val="1C4C65"/>
          <w:sz w:val="28"/>
          <w:szCs w:val="28"/>
        </w:rPr>
      </w:pPr>
    </w:p>
    <w:tbl>
      <w:tblPr>
        <w:tblStyle w:val="a"/>
        <w:tblW w:w="9016"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2649"/>
        <w:gridCol w:w="6367"/>
      </w:tblGrid>
      <w:tr w:rsidR="009045EB" w14:paraId="43FC3F71" w14:textId="77777777" w:rsidTr="00BE338A">
        <w:trPr>
          <w:trHeight w:val="963"/>
        </w:trPr>
        <w:tc>
          <w:tcPr>
            <w:tcW w:w="2649" w:type="dxa"/>
            <w:shd w:val="clear" w:color="auto" w:fill="FFFFFF" w:themeFill="background1"/>
          </w:tcPr>
          <w:p w14:paraId="43FC3F6F" w14:textId="77777777" w:rsidR="009045EB" w:rsidRDefault="0072593A">
            <w:pPr>
              <w:pBdr>
                <w:top w:val="nil"/>
                <w:left w:val="nil"/>
                <w:bottom w:val="nil"/>
                <w:right w:val="nil"/>
                <w:between w:val="nil"/>
              </w:pBdr>
              <w:spacing w:before="0" w:after="0" w:line="276" w:lineRule="auto"/>
              <w:jc w:val="both"/>
              <w:rPr>
                <w:rFonts w:eastAsia="Arial" w:cs="Arial"/>
                <w:color w:val="1C4C65"/>
                <w:sz w:val="28"/>
                <w:szCs w:val="28"/>
              </w:rPr>
            </w:pPr>
            <w:r>
              <w:rPr>
                <w:rFonts w:eastAsia="Arial" w:cs="Arial"/>
                <w:noProof/>
                <w:szCs w:val="20"/>
              </w:rPr>
              <w:drawing>
                <wp:inline distT="0" distB="0" distL="0" distR="0" wp14:anchorId="43FC42AF" wp14:editId="43FC42B0">
                  <wp:extent cx="1009650" cy="461010"/>
                  <wp:effectExtent l="0" t="0" r="0" b="0"/>
                  <wp:docPr id="1053" name="image15.jpg" descr="C:\Users\aferry\Documents\11 SALGA general docs\Salga - Primary Logo Options - RGB1.jpg"/>
                  <wp:cNvGraphicFramePr/>
                  <a:graphic xmlns:a="http://schemas.openxmlformats.org/drawingml/2006/main">
                    <a:graphicData uri="http://schemas.openxmlformats.org/drawingml/2006/picture">
                      <pic:pic xmlns:pic="http://schemas.openxmlformats.org/drawingml/2006/picture">
                        <pic:nvPicPr>
                          <pic:cNvPr id="0" name="image15.jpg" descr="C:\Users\aferry\Documents\11 SALGA general docs\Salga - Primary Logo Options - RGB1.jpg"/>
                          <pic:cNvPicPr preferRelativeResize="0"/>
                        </pic:nvPicPr>
                        <pic:blipFill>
                          <a:blip r:embed="rId18"/>
                          <a:srcRect l="12122" t="20685" r="11253" b="21540"/>
                          <a:stretch>
                            <a:fillRect/>
                          </a:stretch>
                        </pic:blipFill>
                        <pic:spPr>
                          <a:xfrm>
                            <a:off x="0" y="0"/>
                            <a:ext cx="1009650" cy="461010"/>
                          </a:xfrm>
                          <a:prstGeom prst="rect">
                            <a:avLst/>
                          </a:prstGeom>
                          <a:ln/>
                        </pic:spPr>
                      </pic:pic>
                    </a:graphicData>
                  </a:graphic>
                </wp:inline>
              </w:drawing>
            </w:r>
          </w:p>
        </w:tc>
        <w:tc>
          <w:tcPr>
            <w:tcW w:w="6367" w:type="dxa"/>
            <w:shd w:val="clear" w:color="auto" w:fill="FFFFFF" w:themeFill="background1"/>
          </w:tcPr>
          <w:p w14:paraId="43FC3F70" w14:textId="71729B8B" w:rsidR="009045EB" w:rsidRDefault="0072593A">
            <w:pPr>
              <w:pBdr>
                <w:top w:val="nil"/>
                <w:left w:val="nil"/>
                <w:bottom w:val="nil"/>
                <w:right w:val="nil"/>
                <w:between w:val="nil"/>
              </w:pBdr>
              <w:spacing w:before="0" w:after="0" w:line="276" w:lineRule="auto"/>
              <w:rPr>
                <w:rFonts w:eastAsia="Arial" w:cs="Arial"/>
                <w:color w:val="1C4C65"/>
                <w:sz w:val="18"/>
                <w:szCs w:val="18"/>
              </w:rPr>
            </w:pPr>
            <w:r>
              <w:rPr>
                <w:rFonts w:eastAsia="Arial" w:cs="Arial"/>
                <w:sz w:val="18"/>
                <w:szCs w:val="18"/>
              </w:rPr>
              <w:t xml:space="preserve">SALGA facilitated and contributed to the development of the standard </w:t>
            </w:r>
            <w:r w:rsidR="00B26480">
              <w:rPr>
                <w:rFonts w:eastAsia="Arial" w:cs="Arial"/>
                <w:sz w:val="18"/>
                <w:szCs w:val="18"/>
              </w:rPr>
              <w:t>SALGA-</w:t>
            </w:r>
            <w:r>
              <w:rPr>
                <w:rFonts w:eastAsia="Arial" w:cs="Arial"/>
                <w:sz w:val="18"/>
                <w:szCs w:val="18"/>
              </w:rPr>
              <w:t>AMEU documentation</w:t>
            </w:r>
          </w:p>
        </w:tc>
      </w:tr>
      <w:tr w:rsidR="009045EB" w14:paraId="43FC3F74" w14:textId="77777777" w:rsidTr="00BE338A">
        <w:trPr>
          <w:trHeight w:val="788"/>
        </w:trPr>
        <w:tc>
          <w:tcPr>
            <w:tcW w:w="2649" w:type="dxa"/>
            <w:shd w:val="clear" w:color="auto" w:fill="FFFFFF" w:themeFill="background1"/>
          </w:tcPr>
          <w:p w14:paraId="43FC3F72" w14:textId="77777777" w:rsidR="009045EB" w:rsidRDefault="0072593A">
            <w:pPr>
              <w:pBdr>
                <w:top w:val="nil"/>
                <w:left w:val="nil"/>
                <w:bottom w:val="nil"/>
                <w:right w:val="nil"/>
                <w:between w:val="nil"/>
              </w:pBdr>
              <w:spacing w:before="0" w:after="0" w:line="276" w:lineRule="auto"/>
              <w:jc w:val="both"/>
              <w:rPr>
                <w:rFonts w:eastAsia="Arial" w:cs="Arial"/>
                <w:color w:val="1C4C65"/>
                <w:sz w:val="28"/>
                <w:szCs w:val="28"/>
              </w:rPr>
            </w:pPr>
            <w:r>
              <w:rPr>
                <w:rFonts w:eastAsia="Arial" w:cs="Arial"/>
                <w:noProof/>
                <w:szCs w:val="20"/>
              </w:rPr>
              <w:drawing>
                <wp:inline distT="0" distB="0" distL="0" distR="0" wp14:anchorId="43FC42B1" wp14:editId="43FC42B2">
                  <wp:extent cx="1015542" cy="468243"/>
                  <wp:effectExtent l="0" t="0" r="0" b="0"/>
                  <wp:docPr id="105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015542" cy="468243"/>
                          </a:xfrm>
                          <a:prstGeom prst="rect">
                            <a:avLst/>
                          </a:prstGeom>
                          <a:ln/>
                        </pic:spPr>
                      </pic:pic>
                    </a:graphicData>
                  </a:graphic>
                </wp:inline>
              </w:drawing>
            </w:r>
          </w:p>
        </w:tc>
        <w:tc>
          <w:tcPr>
            <w:tcW w:w="6367" w:type="dxa"/>
            <w:shd w:val="clear" w:color="auto" w:fill="FFFFFF" w:themeFill="background1"/>
          </w:tcPr>
          <w:p w14:paraId="43FC3F73" w14:textId="3D3E539A"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 xml:space="preserve">Sustainable Energy Africa contributed to and compiled the standard </w:t>
            </w:r>
            <w:r w:rsidR="00C42C01">
              <w:rPr>
                <w:rFonts w:eastAsia="Arial" w:cs="Arial"/>
                <w:sz w:val="18"/>
                <w:szCs w:val="18"/>
              </w:rPr>
              <w:t>SALGA-</w:t>
            </w:r>
            <w:r>
              <w:rPr>
                <w:rFonts w:eastAsia="Arial" w:cs="Arial"/>
                <w:sz w:val="18"/>
                <w:szCs w:val="18"/>
              </w:rPr>
              <w:t xml:space="preserve">AMEU documentation </w:t>
            </w:r>
          </w:p>
        </w:tc>
      </w:tr>
      <w:tr w:rsidR="009045EB" w14:paraId="43FC3F77" w14:textId="77777777" w:rsidTr="00BE338A">
        <w:trPr>
          <w:trHeight w:val="874"/>
        </w:trPr>
        <w:tc>
          <w:tcPr>
            <w:tcW w:w="2649" w:type="dxa"/>
            <w:shd w:val="clear" w:color="auto" w:fill="FFFFFF" w:themeFill="background1"/>
          </w:tcPr>
          <w:p w14:paraId="43FC3F75" w14:textId="77777777" w:rsidR="009045EB" w:rsidRDefault="0072593A">
            <w:pPr>
              <w:pBdr>
                <w:top w:val="nil"/>
                <w:left w:val="nil"/>
                <w:bottom w:val="nil"/>
                <w:right w:val="nil"/>
                <w:between w:val="nil"/>
              </w:pBdr>
              <w:spacing w:before="0" w:after="0" w:line="276" w:lineRule="auto"/>
              <w:jc w:val="both"/>
              <w:rPr>
                <w:rFonts w:eastAsia="Arial" w:cs="Arial"/>
                <w:sz w:val="20"/>
                <w:szCs w:val="20"/>
              </w:rPr>
            </w:pPr>
            <w:r>
              <w:rPr>
                <w:noProof/>
              </w:rPr>
              <w:drawing>
                <wp:anchor distT="0" distB="0" distL="114300" distR="114300" simplePos="0" relativeHeight="251650048" behindDoc="0" locked="0" layoutInCell="1" hidden="0" allowOverlap="1" wp14:anchorId="43FC42B3" wp14:editId="43FC42B4">
                  <wp:simplePos x="0" y="0"/>
                  <wp:positionH relativeFrom="column">
                    <wp:posOffset>50166</wp:posOffset>
                  </wp:positionH>
                  <wp:positionV relativeFrom="paragraph">
                    <wp:posOffset>0</wp:posOffset>
                  </wp:positionV>
                  <wp:extent cx="1351280" cy="374650"/>
                  <wp:effectExtent l="0" t="0" r="0" b="0"/>
                  <wp:wrapSquare wrapText="bothSides" distT="0" distB="0" distL="114300" distR="114300"/>
                  <wp:docPr id="1037" name="image3.jpg" descr="C:\Users\Admin\Desktop\GreenCape2\v2\Green Cape _ Primary logo _ 72dpi-01.jpg"/>
                  <wp:cNvGraphicFramePr/>
                  <a:graphic xmlns:a="http://schemas.openxmlformats.org/drawingml/2006/main">
                    <a:graphicData uri="http://schemas.openxmlformats.org/drawingml/2006/picture">
                      <pic:pic xmlns:pic="http://schemas.openxmlformats.org/drawingml/2006/picture">
                        <pic:nvPicPr>
                          <pic:cNvPr id="0" name="image3.jpg" descr="C:\Users\Admin\Desktop\GreenCape2\v2\Green Cape _ Primary logo _ 72dpi-01.jpg"/>
                          <pic:cNvPicPr preferRelativeResize="0"/>
                        </pic:nvPicPr>
                        <pic:blipFill>
                          <a:blip r:embed="rId20"/>
                          <a:srcRect/>
                          <a:stretch>
                            <a:fillRect/>
                          </a:stretch>
                        </pic:blipFill>
                        <pic:spPr>
                          <a:xfrm>
                            <a:off x="0" y="0"/>
                            <a:ext cx="1351280" cy="374650"/>
                          </a:xfrm>
                          <a:prstGeom prst="rect">
                            <a:avLst/>
                          </a:prstGeom>
                          <a:ln/>
                        </pic:spPr>
                      </pic:pic>
                    </a:graphicData>
                  </a:graphic>
                </wp:anchor>
              </w:drawing>
            </w:r>
          </w:p>
        </w:tc>
        <w:tc>
          <w:tcPr>
            <w:tcW w:w="6367" w:type="dxa"/>
            <w:shd w:val="clear" w:color="auto" w:fill="FFFFFF" w:themeFill="background1"/>
          </w:tcPr>
          <w:p w14:paraId="43FC3F76"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This document was informed by the GreenCape SSEG guideline for Western Cape municipalities</w:t>
            </w:r>
          </w:p>
        </w:tc>
      </w:tr>
      <w:tr w:rsidR="009045EB" w14:paraId="43FC3F7A" w14:textId="77777777" w:rsidTr="00BE338A">
        <w:trPr>
          <w:trHeight w:val="700"/>
        </w:trPr>
        <w:tc>
          <w:tcPr>
            <w:tcW w:w="2649" w:type="dxa"/>
            <w:shd w:val="clear" w:color="auto" w:fill="FFFFFF" w:themeFill="background1"/>
          </w:tcPr>
          <w:p w14:paraId="43FC3F78" w14:textId="77777777" w:rsidR="009045EB" w:rsidRDefault="0072593A">
            <w:pPr>
              <w:pBdr>
                <w:top w:val="nil"/>
                <w:left w:val="nil"/>
                <w:bottom w:val="nil"/>
                <w:right w:val="nil"/>
                <w:between w:val="nil"/>
              </w:pBdr>
              <w:spacing w:before="0" w:after="0" w:line="276" w:lineRule="auto"/>
              <w:jc w:val="both"/>
              <w:rPr>
                <w:rFonts w:eastAsia="Arial" w:cs="Arial"/>
                <w:sz w:val="20"/>
                <w:szCs w:val="20"/>
              </w:rPr>
            </w:pPr>
            <w:r>
              <w:rPr>
                <w:rFonts w:eastAsia="Arial" w:cs="Arial"/>
                <w:noProof/>
                <w:color w:val="1C4C65"/>
                <w:sz w:val="28"/>
                <w:szCs w:val="28"/>
              </w:rPr>
              <w:drawing>
                <wp:inline distT="0" distB="0" distL="0" distR="0" wp14:anchorId="43FC42B5" wp14:editId="43FC42B6">
                  <wp:extent cx="1413957" cy="466601"/>
                  <wp:effectExtent l="0" t="0" r="0" b="0"/>
                  <wp:docPr id="1058" name="image2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Logo, company name&#10;&#10;Description automatically generated"/>
                          <pic:cNvPicPr preferRelativeResize="0"/>
                        </pic:nvPicPr>
                        <pic:blipFill>
                          <a:blip r:embed="rId21"/>
                          <a:srcRect t="9807"/>
                          <a:stretch>
                            <a:fillRect/>
                          </a:stretch>
                        </pic:blipFill>
                        <pic:spPr>
                          <a:xfrm>
                            <a:off x="0" y="0"/>
                            <a:ext cx="1413957" cy="466601"/>
                          </a:xfrm>
                          <a:prstGeom prst="rect">
                            <a:avLst/>
                          </a:prstGeom>
                          <a:ln/>
                        </pic:spPr>
                      </pic:pic>
                    </a:graphicData>
                  </a:graphic>
                </wp:inline>
              </w:drawing>
            </w:r>
          </w:p>
        </w:tc>
        <w:tc>
          <w:tcPr>
            <w:tcW w:w="6367" w:type="dxa"/>
            <w:shd w:val="clear" w:color="auto" w:fill="FFFFFF" w:themeFill="background1"/>
          </w:tcPr>
          <w:p w14:paraId="43FC3F79"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The development of the document was funded by GIZ’s support programme for renewable energy in South Africa</w:t>
            </w:r>
          </w:p>
        </w:tc>
      </w:tr>
    </w:tbl>
    <w:p w14:paraId="43FC3F7B" w14:textId="77777777" w:rsidR="009045EB" w:rsidRDefault="0072593A">
      <w:pPr>
        <w:pBdr>
          <w:top w:val="nil"/>
          <w:left w:val="nil"/>
          <w:bottom w:val="nil"/>
          <w:right w:val="nil"/>
          <w:between w:val="nil"/>
        </w:pBdr>
        <w:spacing w:line="276" w:lineRule="auto"/>
        <w:jc w:val="both"/>
        <w:rPr>
          <w:rFonts w:ascii="Arial" w:eastAsia="Arial" w:hAnsi="Arial" w:cs="Arial"/>
          <w:color w:val="1C4C65"/>
          <w:sz w:val="28"/>
          <w:szCs w:val="28"/>
        </w:rPr>
      </w:pPr>
      <w:r>
        <w:rPr>
          <w:noProof/>
        </w:rPr>
        <w:drawing>
          <wp:anchor distT="0" distB="0" distL="114300" distR="114300" simplePos="0" relativeHeight="251651072" behindDoc="0" locked="0" layoutInCell="1" hidden="0" allowOverlap="1" wp14:anchorId="43FC42B7" wp14:editId="43FC42B8">
            <wp:simplePos x="0" y="0"/>
            <wp:positionH relativeFrom="column">
              <wp:posOffset>-133349</wp:posOffset>
            </wp:positionH>
            <wp:positionV relativeFrom="paragraph">
              <wp:posOffset>200025</wp:posOffset>
            </wp:positionV>
            <wp:extent cx="1002665" cy="956945"/>
            <wp:effectExtent l="0" t="0" r="0" b="0"/>
            <wp:wrapSquare wrapText="bothSides" distT="0" distB="0" distL="114300" distR="114300"/>
            <wp:docPr id="10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002665" cy="956945"/>
                    </a:xfrm>
                    <a:prstGeom prst="rect">
                      <a:avLst/>
                    </a:prstGeom>
                    <a:ln/>
                  </pic:spPr>
                </pic:pic>
              </a:graphicData>
            </a:graphic>
          </wp:anchor>
        </w:drawing>
      </w:r>
    </w:p>
    <w:p w14:paraId="43FC3F7C"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3F7D" w14:textId="77777777" w:rsidR="009045EB" w:rsidRDefault="009045EB">
      <w:pPr>
        <w:pBdr>
          <w:top w:val="nil"/>
          <w:left w:val="nil"/>
          <w:bottom w:val="nil"/>
          <w:right w:val="nil"/>
          <w:between w:val="nil"/>
        </w:pBdr>
        <w:spacing w:line="480" w:lineRule="auto"/>
        <w:jc w:val="both"/>
        <w:rPr>
          <w:rFonts w:ascii="Arial" w:eastAsia="Arial" w:hAnsi="Arial" w:cs="Arial"/>
          <w:color w:val="000000"/>
          <w:szCs w:val="20"/>
        </w:rPr>
      </w:pPr>
    </w:p>
    <w:p w14:paraId="43FC3F7E" w14:textId="77777777" w:rsidR="009045EB" w:rsidRDefault="0072593A">
      <w:pPr>
        <w:pBdr>
          <w:top w:val="nil"/>
          <w:left w:val="nil"/>
          <w:bottom w:val="nil"/>
          <w:right w:val="nil"/>
          <w:between w:val="nil"/>
        </w:pBdr>
        <w:spacing w:line="480" w:lineRule="auto"/>
        <w:jc w:val="both"/>
        <w:rPr>
          <w:rFonts w:ascii="Arial" w:eastAsia="Arial" w:hAnsi="Arial" w:cs="Arial"/>
          <w:color w:val="000000"/>
          <w:szCs w:val="20"/>
        </w:rPr>
      </w:pPr>
      <w:r>
        <w:rPr>
          <w:rFonts w:ascii="Arial" w:eastAsia="Arial" w:hAnsi="Arial" w:cs="Arial"/>
          <w:color w:val="000000"/>
          <w:szCs w:val="20"/>
        </w:rPr>
        <w:t>AMEU Working Group on standardised SSEG documentation:</w:t>
      </w:r>
    </w:p>
    <w:p w14:paraId="43FC3F7F" w14:textId="77777777" w:rsidR="009045EB" w:rsidRDefault="009045EB">
      <w:pPr>
        <w:pBdr>
          <w:top w:val="nil"/>
          <w:left w:val="nil"/>
          <w:bottom w:val="nil"/>
          <w:right w:val="nil"/>
          <w:between w:val="nil"/>
        </w:pBdr>
        <w:spacing w:line="480" w:lineRule="auto"/>
        <w:ind w:left="720" w:firstLine="720"/>
        <w:jc w:val="both"/>
        <w:rPr>
          <w:rFonts w:ascii="Arial" w:eastAsia="Arial" w:hAnsi="Arial" w:cs="Arial"/>
          <w:color w:val="000000"/>
          <w:szCs w:val="20"/>
        </w:rPr>
      </w:pPr>
    </w:p>
    <w:tbl>
      <w:tblPr>
        <w:tblStyle w:val="a0"/>
        <w:tblW w:w="9026"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2262"/>
        <w:gridCol w:w="2255"/>
        <w:gridCol w:w="2251"/>
        <w:gridCol w:w="2258"/>
      </w:tblGrid>
      <w:tr w:rsidR="009045EB" w14:paraId="43FC3F84" w14:textId="77777777" w:rsidTr="00BE338A">
        <w:trPr>
          <w:trHeight w:val="892"/>
        </w:trPr>
        <w:tc>
          <w:tcPr>
            <w:tcW w:w="2262" w:type="dxa"/>
            <w:shd w:val="clear" w:color="auto" w:fill="FFFFFF" w:themeFill="background1"/>
          </w:tcPr>
          <w:p w14:paraId="43FC3F80" w14:textId="77777777" w:rsidR="009045EB" w:rsidRDefault="0072593A">
            <w:pPr>
              <w:pBdr>
                <w:top w:val="nil"/>
                <w:left w:val="nil"/>
                <w:bottom w:val="nil"/>
                <w:right w:val="nil"/>
                <w:between w:val="nil"/>
              </w:pBdr>
              <w:spacing w:before="0" w:after="0" w:line="276" w:lineRule="auto"/>
              <w:jc w:val="center"/>
              <w:rPr>
                <w:rFonts w:eastAsia="Arial" w:cs="Arial"/>
                <w:sz w:val="20"/>
                <w:szCs w:val="20"/>
              </w:rPr>
            </w:pPr>
            <w:r>
              <w:rPr>
                <w:rFonts w:eastAsia="Arial" w:cs="Arial"/>
                <w:noProof/>
                <w:szCs w:val="20"/>
              </w:rPr>
              <w:drawing>
                <wp:inline distT="0" distB="0" distL="0" distR="0" wp14:anchorId="43FC42B9" wp14:editId="43FC42BA">
                  <wp:extent cx="611874" cy="323687"/>
                  <wp:effectExtent l="0" t="0" r="0" b="0"/>
                  <wp:docPr id="10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611874" cy="323687"/>
                          </a:xfrm>
                          <a:prstGeom prst="rect">
                            <a:avLst/>
                          </a:prstGeom>
                          <a:ln/>
                        </pic:spPr>
                      </pic:pic>
                    </a:graphicData>
                  </a:graphic>
                </wp:inline>
              </w:drawing>
            </w:r>
          </w:p>
        </w:tc>
        <w:tc>
          <w:tcPr>
            <w:tcW w:w="2255" w:type="dxa"/>
            <w:shd w:val="clear" w:color="auto" w:fill="FFFFFF" w:themeFill="background1"/>
          </w:tcPr>
          <w:p w14:paraId="43FC3F81" w14:textId="77777777" w:rsidR="009045EB" w:rsidRDefault="0072593A">
            <w:pPr>
              <w:pBdr>
                <w:top w:val="nil"/>
                <w:left w:val="nil"/>
                <w:bottom w:val="nil"/>
                <w:right w:val="nil"/>
                <w:between w:val="nil"/>
              </w:pBdr>
              <w:spacing w:before="0" w:after="0" w:line="276" w:lineRule="auto"/>
              <w:jc w:val="center"/>
              <w:rPr>
                <w:rFonts w:eastAsia="Arial" w:cs="Arial"/>
                <w:sz w:val="20"/>
                <w:szCs w:val="20"/>
              </w:rPr>
            </w:pPr>
            <w:r>
              <w:rPr>
                <w:rFonts w:eastAsia="Arial" w:cs="Arial"/>
                <w:noProof/>
                <w:szCs w:val="20"/>
              </w:rPr>
              <w:drawing>
                <wp:inline distT="0" distB="0" distL="0" distR="0" wp14:anchorId="43FC42BB" wp14:editId="43FC42BC">
                  <wp:extent cx="466409" cy="466409"/>
                  <wp:effectExtent l="0" t="0" r="0" b="0"/>
                  <wp:docPr id="10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466409" cy="466409"/>
                          </a:xfrm>
                          <a:prstGeom prst="rect">
                            <a:avLst/>
                          </a:prstGeom>
                          <a:ln/>
                        </pic:spPr>
                      </pic:pic>
                    </a:graphicData>
                  </a:graphic>
                </wp:inline>
              </w:drawing>
            </w:r>
          </w:p>
        </w:tc>
        <w:tc>
          <w:tcPr>
            <w:tcW w:w="2251" w:type="dxa"/>
            <w:shd w:val="clear" w:color="auto" w:fill="FFFFFF" w:themeFill="background1"/>
          </w:tcPr>
          <w:p w14:paraId="43FC3F82" w14:textId="77777777" w:rsidR="009045EB" w:rsidRDefault="0072593A">
            <w:pPr>
              <w:pBdr>
                <w:top w:val="nil"/>
                <w:left w:val="nil"/>
                <w:bottom w:val="nil"/>
                <w:right w:val="nil"/>
                <w:between w:val="nil"/>
              </w:pBdr>
              <w:spacing w:before="0" w:after="0" w:line="276" w:lineRule="auto"/>
              <w:jc w:val="center"/>
              <w:rPr>
                <w:rFonts w:eastAsia="Arial" w:cs="Arial"/>
                <w:sz w:val="20"/>
                <w:szCs w:val="20"/>
              </w:rPr>
            </w:pPr>
            <w:r>
              <w:rPr>
                <w:rFonts w:eastAsia="Arial" w:cs="Arial"/>
                <w:noProof/>
                <w:szCs w:val="20"/>
              </w:rPr>
              <w:drawing>
                <wp:inline distT="0" distB="0" distL="0" distR="0" wp14:anchorId="43FC42BD" wp14:editId="43FC42BE">
                  <wp:extent cx="454389" cy="497035"/>
                  <wp:effectExtent l="0" t="0" r="0" b="0"/>
                  <wp:docPr id="10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454389" cy="497035"/>
                          </a:xfrm>
                          <a:prstGeom prst="rect">
                            <a:avLst/>
                          </a:prstGeom>
                          <a:ln/>
                        </pic:spPr>
                      </pic:pic>
                    </a:graphicData>
                  </a:graphic>
                </wp:inline>
              </w:drawing>
            </w:r>
          </w:p>
        </w:tc>
        <w:tc>
          <w:tcPr>
            <w:tcW w:w="2258" w:type="dxa"/>
            <w:shd w:val="clear" w:color="auto" w:fill="FFFFFF" w:themeFill="background1"/>
          </w:tcPr>
          <w:p w14:paraId="43FC3F83" w14:textId="77777777" w:rsidR="009045EB" w:rsidRDefault="0072593A">
            <w:pPr>
              <w:pBdr>
                <w:top w:val="nil"/>
                <w:left w:val="nil"/>
                <w:bottom w:val="nil"/>
                <w:right w:val="nil"/>
                <w:between w:val="nil"/>
              </w:pBdr>
              <w:spacing w:before="0" w:after="0" w:line="276" w:lineRule="auto"/>
              <w:jc w:val="center"/>
              <w:rPr>
                <w:rFonts w:eastAsia="Arial" w:cs="Arial"/>
                <w:sz w:val="20"/>
                <w:szCs w:val="20"/>
              </w:rPr>
            </w:pPr>
            <w:r>
              <w:rPr>
                <w:rFonts w:eastAsia="Arial" w:cs="Arial"/>
                <w:noProof/>
                <w:szCs w:val="20"/>
              </w:rPr>
              <w:drawing>
                <wp:inline distT="0" distB="0" distL="0" distR="0" wp14:anchorId="43FC42BF" wp14:editId="43FC42C0">
                  <wp:extent cx="432399" cy="387779"/>
                  <wp:effectExtent l="0" t="0" r="0" b="0"/>
                  <wp:docPr id="1061" name="image19.png" descr="http://www.nelsonmandelabay.gov.za/Images/Logo_Colour.png"/>
                  <wp:cNvGraphicFramePr/>
                  <a:graphic xmlns:a="http://schemas.openxmlformats.org/drawingml/2006/main">
                    <a:graphicData uri="http://schemas.openxmlformats.org/drawingml/2006/picture">
                      <pic:pic xmlns:pic="http://schemas.openxmlformats.org/drawingml/2006/picture">
                        <pic:nvPicPr>
                          <pic:cNvPr id="0" name="image19.png" descr="http://www.nelsonmandelabay.gov.za/Images/Logo_Colour.png"/>
                          <pic:cNvPicPr preferRelativeResize="0"/>
                        </pic:nvPicPr>
                        <pic:blipFill>
                          <a:blip r:embed="rId26"/>
                          <a:srcRect/>
                          <a:stretch>
                            <a:fillRect/>
                          </a:stretch>
                        </pic:blipFill>
                        <pic:spPr>
                          <a:xfrm>
                            <a:off x="0" y="0"/>
                            <a:ext cx="432399" cy="387779"/>
                          </a:xfrm>
                          <a:prstGeom prst="rect">
                            <a:avLst/>
                          </a:prstGeom>
                          <a:ln/>
                        </pic:spPr>
                      </pic:pic>
                    </a:graphicData>
                  </a:graphic>
                </wp:inline>
              </w:drawing>
            </w:r>
          </w:p>
        </w:tc>
      </w:tr>
      <w:tr w:rsidR="009045EB" w14:paraId="43FC3F89" w14:textId="77777777" w:rsidTr="00BE338A">
        <w:trPr>
          <w:trHeight w:val="565"/>
        </w:trPr>
        <w:tc>
          <w:tcPr>
            <w:tcW w:w="2262" w:type="dxa"/>
            <w:shd w:val="clear" w:color="auto" w:fill="FFFFFF" w:themeFill="background1"/>
          </w:tcPr>
          <w:p w14:paraId="43FC3F85"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color w:val="808080"/>
                <w:sz w:val="16"/>
                <w:szCs w:val="16"/>
              </w:rPr>
              <w:t>Johannesburg – City Power</w:t>
            </w:r>
          </w:p>
        </w:tc>
        <w:tc>
          <w:tcPr>
            <w:tcW w:w="2255" w:type="dxa"/>
            <w:shd w:val="clear" w:color="auto" w:fill="FFFFFF" w:themeFill="background1"/>
          </w:tcPr>
          <w:p w14:paraId="43FC3F86"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color w:val="808080"/>
                <w:sz w:val="16"/>
                <w:szCs w:val="16"/>
              </w:rPr>
              <w:t>Tshwane</w:t>
            </w:r>
          </w:p>
        </w:tc>
        <w:tc>
          <w:tcPr>
            <w:tcW w:w="2251" w:type="dxa"/>
            <w:shd w:val="clear" w:color="auto" w:fill="FFFFFF" w:themeFill="background1"/>
          </w:tcPr>
          <w:p w14:paraId="43FC3F87"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color w:val="808080"/>
                <w:sz w:val="16"/>
                <w:szCs w:val="16"/>
              </w:rPr>
              <w:t>eThekwini</w:t>
            </w:r>
          </w:p>
        </w:tc>
        <w:tc>
          <w:tcPr>
            <w:tcW w:w="2258" w:type="dxa"/>
            <w:shd w:val="clear" w:color="auto" w:fill="FFFFFF" w:themeFill="background1"/>
          </w:tcPr>
          <w:p w14:paraId="43FC3F88"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color w:val="808080"/>
                <w:sz w:val="16"/>
                <w:szCs w:val="16"/>
              </w:rPr>
              <w:t>Nelson Mandela Bay Metropolitan Municipality</w:t>
            </w:r>
          </w:p>
        </w:tc>
      </w:tr>
      <w:tr w:rsidR="009045EB" w14:paraId="43FC3F8E" w14:textId="77777777" w:rsidTr="00BE338A">
        <w:tc>
          <w:tcPr>
            <w:tcW w:w="2262" w:type="dxa"/>
            <w:shd w:val="clear" w:color="auto" w:fill="FFFFFF" w:themeFill="background1"/>
          </w:tcPr>
          <w:p w14:paraId="43FC3F8A"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noProof/>
                <w:color w:val="808080"/>
                <w:sz w:val="16"/>
                <w:szCs w:val="16"/>
              </w:rPr>
              <w:drawing>
                <wp:inline distT="0" distB="0" distL="0" distR="0" wp14:anchorId="43FC42C1" wp14:editId="43FC42C2">
                  <wp:extent cx="610300" cy="499865"/>
                  <wp:effectExtent l="0" t="0" r="0" b="0"/>
                  <wp:docPr id="1062" name="image20.png" descr="Buffalo City Metropolitan Municipality"/>
                  <wp:cNvGraphicFramePr/>
                  <a:graphic xmlns:a="http://schemas.openxmlformats.org/drawingml/2006/main">
                    <a:graphicData uri="http://schemas.openxmlformats.org/drawingml/2006/picture">
                      <pic:pic xmlns:pic="http://schemas.openxmlformats.org/drawingml/2006/picture">
                        <pic:nvPicPr>
                          <pic:cNvPr id="0" name="image20.png" descr="Buffalo City Metropolitan Municipality"/>
                          <pic:cNvPicPr preferRelativeResize="0"/>
                        </pic:nvPicPr>
                        <pic:blipFill>
                          <a:blip r:embed="rId27"/>
                          <a:srcRect/>
                          <a:stretch>
                            <a:fillRect/>
                          </a:stretch>
                        </pic:blipFill>
                        <pic:spPr>
                          <a:xfrm>
                            <a:off x="0" y="0"/>
                            <a:ext cx="610300" cy="499865"/>
                          </a:xfrm>
                          <a:prstGeom prst="rect">
                            <a:avLst/>
                          </a:prstGeom>
                          <a:ln/>
                        </pic:spPr>
                      </pic:pic>
                    </a:graphicData>
                  </a:graphic>
                </wp:inline>
              </w:drawing>
            </w:r>
          </w:p>
        </w:tc>
        <w:tc>
          <w:tcPr>
            <w:tcW w:w="2255" w:type="dxa"/>
            <w:shd w:val="clear" w:color="auto" w:fill="FFFFFF" w:themeFill="background1"/>
          </w:tcPr>
          <w:p w14:paraId="43FC3F8B"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noProof/>
                <w:color w:val="808080"/>
                <w:sz w:val="16"/>
                <w:szCs w:val="16"/>
              </w:rPr>
              <w:drawing>
                <wp:inline distT="0" distB="0" distL="0" distR="0" wp14:anchorId="43FC42C3" wp14:editId="43FC42C4">
                  <wp:extent cx="546478" cy="459430"/>
                  <wp:effectExtent l="0" t="0" r="0" b="0"/>
                  <wp:docPr id="10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46478" cy="459430"/>
                          </a:xfrm>
                          <a:prstGeom prst="rect">
                            <a:avLst/>
                          </a:prstGeom>
                          <a:ln/>
                        </pic:spPr>
                      </pic:pic>
                    </a:graphicData>
                  </a:graphic>
                </wp:inline>
              </w:drawing>
            </w:r>
          </w:p>
        </w:tc>
        <w:tc>
          <w:tcPr>
            <w:tcW w:w="2251" w:type="dxa"/>
            <w:shd w:val="clear" w:color="auto" w:fill="FFFFFF" w:themeFill="background1"/>
          </w:tcPr>
          <w:p w14:paraId="43FC3F8C"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noProof/>
                <w:color w:val="808080"/>
                <w:sz w:val="16"/>
                <w:szCs w:val="16"/>
              </w:rPr>
              <w:drawing>
                <wp:inline distT="0" distB="0" distL="0" distR="0" wp14:anchorId="43FC42C5" wp14:editId="43FC42C6">
                  <wp:extent cx="405390" cy="403641"/>
                  <wp:effectExtent l="0" t="0" r="0" b="0"/>
                  <wp:docPr id="10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l="-1" r="65399"/>
                          <a:stretch>
                            <a:fillRect/>
                          </a:stretch>
                        </pic:blipFill>
                        <pic:spPr>
                          <a:xfrm>
                            <a:off x="0" y="0"/>
                            <a:ext cx="405390" cy="403641"/>
                          </a:xfrm>
                          <a:prstGeom prst="rect">
                            <a:avLst/>
                          </a:prstGeom>
                          <a:ln/>
                        </pic:spPr>
                      </pic:pic>
                    </a:graphicData>
                  </a:graphic>
                </wp:inline>
              </w:drawing>
            </w:r>
          </w:p>
        </w:tc>
        <w:tc>
          <w:tcPr>
            <w:tcW w:w="2258" w:type="dxa"/>
            <w:shd w:val="clear" w:color="auto" w:fill="FFFFFF" w:themeFill="background1"/>
          </w:tcPr>
          <w:p w14:paraId="43FC3F8D"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noProof/>
                <w:color w:val="808080"/>
                <w:sz w:val="16"/>
                <w:szCs w:val="16"/>
              </w:rPr>
              <w:drawing>
                <wp:inline distT="0" distB="0" distL="0" distR="0" wp14:anchorId="43FC42C7" wp14:editId="43FC42C8">
                  <wp:extent cx="303541" cy="399487"/>
                  <wp:effectExtent l="0" t="0" r="0" b="0"/>
                  <wp:docPr id="10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303541" cy="399487"/>
                          </a:xfrm>
                          <a:prstGeom prst="rect">
                            <a:avLst/>
                          </a:prstGeom>
                          <a:ln/>
                        </pic:spPr>
                      </pic:pic>
                    </a:graphicData>
                  </a:graphic>
                </wp:inline>
              </w:drawing>
            </w:r>
          </w:p>
        </w:tc>
      </w:tr>
      <w:tr w:rsidR="009045EB" w14:paraId="43FC3F94" w14:textId="77777777" w:rsidTr="00BE338A">
        <w:tc>
          <w:tcPr>
            <w:tcW w:w="2262" w:type="dxa"/>
            <w:shd w:val="clear" w:color="auto" w:fill="FFFFFF" w:themeFill="background1"/>
          </w:tcPr>
          <w:p w14:paraId="43FC3F8F"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color w:val="808080"/>
                <w:sz w:val="16"/>
                <w:szCs w:val="16"/>
              </w:rPr>
              <w:t>Buffalo City</w:t>
            </w:r>
          </w:p>
        </w:tc>
        <w:tc>
          <w:tcPr>
            <w:tcW w:w="2255" w:type="dxa"/>
            <w:shd w:val="clear" w:color="auto" w:fill="FFFFFF" w:themeFill="background1"/>
          </w:tcPr>
          <w:p w14:paraId="43FC3F90"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color w:val="808080"/>
                <w:sz w:val="16"/>
                <w:szCs w:val="16"/>
              </w:rPr>
              <w:t>Mangaung - Centlec</w:t>
            </w:r>
          </w:p>
          <w:p w14:paraId="43FC3F91" w14:textId="77777777" w:rsidR="009045EB" w:rsidRDefault="009045EB">
            <w:pPr>
              <w:pBdr>
                <w:top w:val="nil"/>
                <w:left w:val="nil"/>
                <w:bottom w:val="nil"/>
                <w:right w:val="nil"/>
                <w:between w:val="nil"/>
              </w:pBdr>
              <w:spacing w:before="0" w:after="0" w:line="276" w:lineRule="auto"/>
              <w:jc w:val="center"/>
              <w:rPr>
                <w:rFonts w:eastAsia="Arial" w:cs="Arial"/>
                <w:color w:val="808080"/>
                <w:sz w:val="16"/>
                <w:szCs w:val="16"/>
              </w:rPr>
            </w:pPr>
          </w:p>
        </w:tc>
        <w:tc>
          <w:tcPr>
            <w:tcW w:w="2251" w:type="dxa"/>
            <w:shd w:val="clear" w:color="auto" w:fill="FFFFFF" w:themeFill="background1"/>
          </w:tcPr>
          <w:p w14:paraId="43FC3F92"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color w:val="808080"/>
                <w:sz w:val="16"/>
                <w:szCs w:val="16"/>
              </w:rPr>
              <w:t>Cape Town</w:t>
            </w:r>
          </w:p>
        </w:tc>
        <w:tc>
          <w:tcPr>
            <w:tcW w:w="2258" w:type="dxa"/>
            <w:shd w:val="clear" w:color="auto" w:fill="FFFFFF" w:themeFill="background1"/>
          </w:tcPr>
          <w:p w14:paraId="43FC3F93" w14:textId="77777777" w:rsidR="009045EB" w:rsidRDefault="0072593A">
            <w:pPr>
              <w:pBdr>
                <w:top w:val="nil"/>
                <w:left w:val="nil"/>
                <w:bottom w:val="nil"/>
                <w:right w:val="nil"/>
                <w:between w:val="nil"/>
              </w:pBdr>
              <w:spacing w:before="0" w:after="0" w:line="276" w:lineRule="auto"/>
              <w:jc w:val="center"/>
              <w:rPr>
                <w:rFonts w:eastAsia="Arial" w:cs="Arial"/>
                <w:color w:val="808080"/>
                <w:sz w:val="16"/>
                <w:szCs w:val="16"/>
              </w:rPr>
            </w:pPr>
            <w:r>
              <w:rPr>
                <w:rFonts w:eastAsia="Arial" w:cs="Arial"/>
                <w:color w:val="808080"/>
                <w:sz w:val="16"/>
                <w:szCs w:val="16"/>
              </w:rPr>
              <w:t>Ekurhuleni</w:t>
            </w:r>
          </w:p>
        </w:tc>
      </w:tr>
    </w:tbl>
    <w:p w14:paraId="43FC3F95"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D0C0E89" w14:textId="77777777" w:rsidR="002D5AEC" w:rsidRDefault="002D5AEC">
      <w:pPr>
        <w:pBdr>
          <w:top w:val="nil"/>
          <w:left w:val="nil"/>
          <w:bottom w:val="nil"/>
          <w:right w:val="nil"/>
          <w:between w:val="nil"/>
        </w:pBdr>
        <w:spacing w:line="276" w:lineRule="auto"/>
        <w:jc w:val="both"/>
        <w:rPr>
          <w:rFonts w:ascii="Arial" w:eastAsia="Arial" w:hAnsi="Arial" w:cs="Arial"/>
          <w:color w:val="000000"/>
          <w:szCs w:val="20"/>
        </w:rPr>
      </w:pPr>
    </w:p>
    <w:p w14:paraId="43C4B2D5" w14:textId="77777777" w:rsidR="002D5AEC" w:rsidRDefault="002D5AEC">
      <w:pPr>
        <w:pBdr>
          <w:top w:val="nil"/>
          <w:left w:val="nil"/>
          <w:bottom w:val="nil"/>
          <w:right w:val="nil"/>
          <w:between w:val="nil"/>
        </w:pBdr>
        <w:spacing w:line="276" w:lineRule="auto"/>
        <w:jc w:val="both"/>
        <w:rPr>
          <w:rFonts w:ascii="Arial" w:eastAsia="Arial" w:hAnsi="Arial" w:cs="Arial"/>
          <w:color w:val="000000"/>
          <w:szCs w:val="20"/>
        </w:rPr>
      </w:pPr>
    </w:p>
    <w:p w14:paraId="43FC3FA9" w14:textId="629686F8"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Contact details:  </w:t>
      </w:r>
      <w:r>
        <w:rPr>
          <w:rFonts w:ascii="Arial" w:eastAsia="Arial" w:hAnsi="Arial" w:cs="Arial"/>
          <w:color w:val="000000"/>
          <w:szCs w:val="20"/>
        </w:rPr>
        <w:tab/>
        <w:t>AMEU: 011 061 5000</w:t>
      </w:r>
    </w:p>
    <w:p w14:paraId="43FC3FAA" w14:textId="77777777" w:rsidR="009045EB" w:rsidRDefault="0072593A">
      <w:pPr>
        <w:pBdr>
          <w:top w:val="nil"/>
          <w:left w:val="nil"/>
          <w:bottom w:val="nil"/>
          <w:right w:val="nil"/>
          <w:between w:val="nil"/>
        </w:pBdr>
        <w:spacing w:line="276" w:lineRule="auto"/>
        <w:ind w:left="1440" w:firstLine="720"/>
        <w:jc w:val="both"/>
        <w:rPr>
          <w:rFonts w:ascii="Arial" w:eastAsia="Arial" w:hAnsi="Arial" w:cs="Arial"/>
          <w:color w:val="000000"/>
          <w:szCs w:val="20"/>
        </w:rPr>
      </w:pPr>
      <w:bookmarkStart w:id="0" w:name="_heading=h.30j0zll" w:colFirst="0" w:colLast="0"/>
      <w:bookmarkEnd w:id="0"/>
      <w:r>
        <w:rPr>
          <w:rFonts w:ascii="Arial" w:eastAsia="Arial" w:hAnsi="Arial" w:cs="Arial"/>
          <w:color w:val="000000"/>
          <w:szCs w:val="20"/>
        </w:rPr>
        <w:t>SALGA: 012 369 8000</w:t>
      </w:r>
    </w:p>
    <w:p w14:paraId="43FC3FAB" w14:textId="34AB7E46"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32181D1F" w14:textId="6221F1FF" w:rsidR="00A72728" w:rsidRDefault="00A72728" w:rsidP="00A72728">
      <w:pPr>
        <w:pStyle w:val="BodyText"/>
        <w:rPr>
          <w:lang w:val="en-GB"/>
        </w:rPr>
      </w:pPr>
    </w:p>
    <w:p w14:paraId="0116AF68" w14:textId="77777777" w:rsidR="00B11846" w:rsidRPr="00B11846" w:rsidRDefault="00B11846" w:rsidP="00B11846">
      <w:pPr>
        <w:pStyle w:val="BodyText"/>
        <w:rPr>
          <w:lang w:val="en-GB"/>
        </w:rPr>
      </w:pPr>
    </w:p>
    <w:p w14:paraId="7786095F" w14:textId="356E8EB7" w:rsidR="00B11846" w:rsidRPr="00B11846" w:rsidRDefault="00B11846" w:rsidP="00B11846">
      <w:pPr>
        <w:pStyle w:val="BodyText"/>
        <w:rPr>
          <w:lang w:val="en-GB"/>
        </w:rPr>
      </w:pPr>
    </w:p>
    <w:p w14:paraId="43FC3FAD" w14:textId="3C1107F5" w:rsidR="009045EB" w:rsidRDefault="0072593A">
      <w:pPr>
        <w:pStyle w:val="Heading1"/>
        <w:numPr>
          <w:ilvl w:val="0"/>
          <w:numId w:val="4"/>
        </w:numPr>
        <w:rPr>
          <w:rFonts w:ascii="Arial" w:eastAsia="Arial" w:hAnsi="Arial" w:cs="Arial"/>
        </w:rPr>
      </w:pPr>
      <w:bookmarkStart w:id="1" w:name="_Toc128033200"/>
      <w:r>
        <w:rPr>
          <w:rFonts w:ascii="Arial" w:eastAsia="Arial" w:hAnsi="Arial" w:cs="Arial"/>
        </w:rPr>
        <w:lastRenderedPageBreak/>
        <w:t>Information on this document</w:t>
      </w:r>
      <w:bookmarkEnd w:id="1"/>
    </w:p>
    <w:tbl>
      <w:tblPr>
        <w:tblStyle w:val="a2"/>
        <w:tblW w:w="8869" w:type="dxa"/>
        <w:tblBorders>
          <w:top w:val="single" w:sz="4" w:space="0" w:color="75B5E4"/>
          <w:left w:val="single" w:sz="4" w:space="0" w:color="75B5E4"/>
          <w:bottom w:val="single" w:sz="4" w:space="0" w:color="75B5E4"/>
          <w:right w:val="single" w:sz="4" w:space="0" w:color="75B5E4"/>
          <w:insideH w:val="single" w:sz="4" w:space="0" w:color="75B5E4"/>
          <w:insideV w:val="single" w:sz="4" w:space="0" w:color="75B5E4"/>
        </w:tblBorders>
        <w:tblLayout w:type="fixed"/>
        <w:tblLook w:val="0000" w:firstRow="0" w:lastRow="0" w:firstColumn="0" w:lastColumn="0" w:noHBand="0" w:noVBand="0"/>
      </w:tblPr>
      <w:tblGrid>
        <w:gridCol w:w="1644"/>
        <w:gridCol w:w="7225"/>
      </w:tblGrid>
      <w:tr w:rsidR="009045EB" w14:paraId="43FC3FB0" w14:textId="77777777">
        <w:trPr>
          <w:cantSplit/>
        </w:trPr>
        <w:tc>
          <w:tcPr>
            <w:tcW w:w="1644" w:type="dxa"/>
            <w:shd w:val="clear" w:color="auto" w:fill="auto"/>
          </w:tcPr>
          <w:p w14:paraId="43FC3FAE" w14:textId="77777777" w:rsidR="009045EB" w:rsidRDefault="0072593A">
            <w:pPr>
              <w:pBdr>
                <w:top w:val="nil"/>
                <w:left w:val="nil"/>
                <w:bottom w:val="nil"/>
                <w:right w:val="nil"/>
                <w:between w:val="nil"/>
              </w:pBdr>
              <w:spacing w:line="276" w:lineRule="auto"/>
              <w:rPr>
                <w:rFonts w:ascii="Arial" w:eastAsia="Arial" w:hAnsi="Arial" w:cs="Arial"/>
                <w:b/>
                <w:color w:val="000000"/>
                <w:szCs w:val="20"/>
              </w:rPr>
            </w:pPr>
            <w:r>
              <w:rPr>
                <w:rFonts w:ascii="Arial" w:eastAsia="Arial" w:hAnsi="Arial" w:cs="Arial"/>
                <w:b/>
                <w:color w:val="000000"/>
                <w:szCs w:val="20"/>
              </w:rPr>
              <w:t>Purpose of the document</w:t>
            </w:r>
          </w:p>
        </w:tc>
        <w:tc>
          <w:tcPr>
            <w:tcW w:w="7225" w:type="dxa"/>
            <w:shd w:val="clear" w:color="auto" w:fill="auto"/>
          </w:tcPr>
          <w:p w14:paraId="43FC3FAF" w14:textId="11F04513" w:rsidR="009045EB" w:rsidRDefault="0072593A">
            <w:pPr>
              <w:pBdr>
                <w:top w:val="nil"/>
                <w:left w:val="nil"/>
                <w:bottom w:val="nil"/>
                <w:right w:val="nil"/>
                <w:between w:val="nil"/>
              </w:pBdr>
              <w:spacing w:line="276" w:lineRule="auto"/>
              <w:rPr>
                <w:rFonts w:ascii="Arial" w:eastAsia="Arial" w:hAnsi="Arial" w:cs="Arial"/>
                <w:b/>
                <w:color w:val="000000"/>
                <w:szCs w:val="20"/>
              </w:rPr>
            </w:pPr>
            <w:r>
              <w:rPr>
                <w:rFonts w:ascii="Arial" w:eastAsia="Arial" w:hAnsi="Arial" w:cs="Arial"/>
                <w:color w:val="000000"/>
                <w:szCs w:val="20"/>
              </w:rPr>
              <w:t xml:space="preserve">This document primarily sets out the requirements and application process of the Municipality in connecting all forms of Embedded Generation (EG) to the municipal electricity network. </w:t>
            </w:r>
            <w:r w:rsidRPr="00541E14">
              <w:rPr>
                <w:rFonts w:ascii="Arial" w:eastAsia="Arial" w:hAnsi="Arial" w:cs="Arial"/>
                <w:color w:val="000000"/>
                <w:szCs w:val="20"/>
              </w:rPr>
              <w:t xml:space="preserve">The focus is on Small-Scale Embedded Generation (SSEG), but </w:t>
            </w:r>
            <w:r w:rsidR="00652385" w:rsidRPr="00541E14">
              <w:rPr>
                <w:rFonts w:ascii="Arial" w:eastAsia="Arial" w:hAnsi="Arial" w:cs="Arial"/>
                <w:color w:val="000000"/>
                <w:szCs w:val="20"/>
              </w:rPr>
              <w:t>information</w:t>
            </w:r>
            <w:r w:rsidRPr="00541E14">
              <w:rPr>
                <w:rFonts w:ascii="Arial" w:eastAsia="Arial" w:hAnsi="Arial" w:cs="Arial"/>
                <w:color w:val="000000"/>
                <w:szCs w:val="20"/>
              </w:rPr>
              <w:t xml:space="preserve"> is also provided for the connection of larger generators.</w:t>
            </w:r>
          </w:p>
        </w:tc>
      </w:tr>
      <w:tr w:rsidR="009045EB" w14:paraId="43FC3FB3" w14:textId="77777777">
        <w:trPr>
          <w:cantSplit/>
        </w:trPr>
        <w:tc>
          <w:tcPr>
            <w:tcW w:w="1644" w:type="dxa"/>
            <w:shd w:val="clear" w:color="auto" w:fill="auto"/>
          </w:tcPr>
          <w:p w14:paraId="43FC3FB1" w14:textId="77777777" w:rsidR="009045EB" w:rsidRDefault="0072593A">
            <w:pPr>
              <w:pBdr>
                <w:top w:val="nil"/>
                <w:left w:val="nil"/>
                <w:bottom w:val="nil"/>
                <w:right w:val="nil"/>
                <w:between w:val="nil"/>
              </w:pBdr>
              <w:spacing w:line="276" w:lineRule="auto"/>
              <w:rPr>
                <w:rFonts w:ascii="Arial" w:eastAsia="Arial" w:hAnsi="Arial" w:cs="Arial"/>
                <w:b/>
                <w:color w:val="000000"/>
                <w:szCs w:val="20"/>
              </w:rPr>
            </w:pPr>
            <w:r>
              <w:rPr>
                <w:rFonts w:ascii="Arial" w:eastAsia="Arial" w:hAnsi="Arial" w:cs="Arial"/>
                <w:b/>
                <w:color w:val="000000"/>
                <w:szCs w:val="20"/>
              </w:rPr>
              <w:t>Defining small scale embedded generation</w:t>
            </w:r>
          </w:p>
        </w:tc>
        <w:tc>
          <w:tcPr>
            <w:tcW w:w="7225" w:type="dxa"/>
            <w:shd w:val="clear" w:color="auto" w:fill="auto"/>
          </w:tcPr>
          <w:p w14:paraId="43FC3FB2" w14:textId="77777777" w:rsidR="009045EB" w:rsidRDefault="0072593A">
            <w:p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Small-scale embedded generation (SSEG) refers to power generation installations </w:t>
            </w:r>
            <w:r>
              <w:rPr>
                <w:rFonts w:ascii="Arial" w:eastAsia="Arial" w:hAnsi="Arial" w:cs="Arial"/>
                <w:b/>
                <w:color w:val="000000"/>
                <w:szCs w:val="20"/>
              </w:rPr>
              <w:t>less than or equal to 1MVA/1000kVA</w:t>
            </w:r>
            <w:r>
              <w:rPr>
                <w:rFonts w:ascii="Arial" w:eastAsia="Arial" w:hAnsi="Arial" w:cs="Arial"/>
                <w:color w:val="000000"/>
                <w:szCs w:val="20"/>
              </w:rPr>
              <w:t xml:space="preserve"> which are typically located on residential, commercial or industrial sites, and generated power is mainly for </w:t>
            </w:r>
            <w:r>
              <w:rPr>
                <w:rFonts w:ascii="Arial" w:eastAsia="Arial" w:hAnsi="Arial" w:cs="Arial"/>
                <w:b/>
                <w:color w:val="000000"/>
                <w:szCs w:val="20"/>
              </w:rPr>
              <w:t>self-consumption</w:t>
            </w:r>
            <w:r>
              <w:rPr>
                <w:rFonts w:ascii="Arial" w:eastAsia="Arial" w:hAnsi="Arial" w:cs="Arial"/>
                <w:color w:val="000000"/>
                <w:szCs w:val="20"/>
              </w:rPr>
              <w:t>. SSEG is in contrast to large-scale generation units that generate large amounts of power, typically in the multi-Megawatt range, and are often pure generators (not for self-consumption)</w:t>
            </w:r>
          </w:p>
        </w:tc>
      </w:tr>
      <w:tr w:rsidR="009045EB" w14:paraId="43FC3FBC" w14:textId="77777777">
        <w:trPr>
          <w:cantSplit/>
        </w:trPr>
        <w:tc>
          <w:tcPr>
            <w:tcW w:w="1644" w:type="dxa"/>
            <w:shd w:val="clear" w:color="auto" w:fill="auto"/>
          </w:tcPr>
          <w:p w14:paraId="43FC3FB4" w14:textId="77777777" w:rsidR="009045EB" w:rsidRDefault="0072593A">
            <w:pPr>
              <w:pBdr>
                <w:top w:val="nil"/>
                <w:left w:val="nil"/>
                <w:bottom w:val="nil"/>
                <w:right w:val="nil"/>
                <w:between w:val="nil"/>
              </w:pBdr>
              <w:spacing w:line="276" w:lineRule="auto"/>
              <w:rPr>
                <w:rFonts w:ascii="Arial" w:eastAsia="Arial" w:hAnsi="Arial" w:cs="Arial"/>
                <w:b/>
                <w:color w:val="000000"/>
                <w:szCs w:val="20"/>
              </w:rPr>
            </w:pPr>
            <w:r>
              <w:rPr>
                <w:rFonts w:ascii="Arial" w:eastAsia="Arial" w:hAnsi="Arial" w:cs="Arial"/>
                <w:b/>
                <w:color w:val="000000"/>
                <w:szCs w:val="20"/>
              </w:rPr>
              <w:t>The need for this document</w:t>
            </w:r>
          </w:p>
        </w:tc>
        <w:tc>
          <w:tcPr>
            <w:tcW w:w="7225" w:type="dxa"/>
            <w:shd w:val="clear" w:color="auto" w:fill="auto"/>
          </w:tcPr>
          <w:p w14:paraId="43FC3FB5" w14:textId="77777777" w:rsidR="009045EB" w:rsidRDefault="0072593A">
            <w:p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The parallel connection of any generator to the municipal electrical network, however powered, has numerous implications for the Municipality. It therefore needs to be regulated and managed. This document serves to:</w:t>
            </w:r>
          </w:p>
          <w:p w14:paraId="43FC3FB6"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Ensure the </w:t>
            </w:r>
            <w:r w:rsidRPr="00344683">
              <w:rPr>
                <w:rFonts w:ascii="Arial" w:eastAsia="Arial" w:hAnsi="Arial" w:cs="Arial"/>
                <w:color w:val="000000"/>
                <w:szCs w:val="20"/>
                <w:u w:val="single"/>
              </w:rPr>
              <w:t>safety</w:t>
            </w:r>
            <w:r>
              <w:rPr>
                <w:rFonts w:ascii="Arial" w:eastAsia="Arial" w:hAnsi="Arial" w:cs="Arial"/>
                <w:color w:val="000000"/>
                <w:szCs w:val="20"/>
              </w:rPr>
              <w:t xml:space="preserve"> of the municipal staff, the public and the user of the SSEG installation. </w:t>
            </w:r>
          </w:p>
          <w:p w14:paraId="43FC3FB7"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Uphold the </w:t>
            </w:r>
            <w:r w:rsidRPr="00344683">
              <w:rPr>
                <w:rFonts w:ascii="Arial" w:eastAsia="Arial" w:hAnsi="Arial" w:cs="Arial"/>
                <w:color w:val="000000"/>
                <w:szCs w:val="20"/>
                <w:u w:val="single"/>
              </w:rPr>
              <w:t>power quality</w:t>
            </w:r>
            <w:r>
              <w:rPr>
                <w:rFonts w:ascii="Arial" w:eastAsia="Arial" w:hAnsi="Arial" w:cs="Arial"/>
                <w:color w:val="000000"/>
                <w:szCs w:val="20"/>
              </w:rPr>
              <w:t xml:space="preserve"> of the municipal electricity network</w:t>
            </w:r>
          </w:p>
          <w:p w14:paraId="43FC3FB8"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Clarify </w:t>
            </w:r>
            <w:r w:rsidRPr="00344683">
              <w:rPr>
                <w:rFonts w:ascii="Arial" w:eastAsia="Arial" w:hAnsi="Arial" w:cs="Arial"/>
                <w:color w:val="000000"/>
                <w:szCs w:val="20"/>
                <w:u w:val="single"/>
              </w:rPr>
              <w:t>metering and billing</w:t>
            </w:r>
            <w:r>
              <w:rPr>
                <w:rFonts w:ascii="Arial" w:eastAsia="Arial" w:hAnsi="Arial" w:cs="Arial"/>
                <w:color w:val="000000"/>
                <w:szCs w:val="20"/>
              </w:rPr>
              <w:t xml:space="preserve"> requirements and options</w:t>
            </w:r>
          </w:p>
          <w:p w14:paraId="43FC3FB9" w14:textId="77777777" w:rsidR="009045EB" w:rsidRDefault="009045EB">
            <w:pPr>
              <w:pBdr>
                <w:top w:val="nil"/>
                <w:left w:val="nil"/>
                <w:bottom w:val="nil"/>
                <w:right w:val="nil"/>
                <w:between w:val="nil"/>
              </w:pBdr>
              <w:spacing w:line="276" w:lineRule="auto"/>
              <w:ind w:left="720"/>
              <w:rPr>
                <w:rFonts w:ascii="Arial" w:eastAsia="Arial" w:hAnsi="Arial" w:cs="Arial"/>
                <w:color w:val="000000"/>
                <w:szCs w:val="20"/>
              </w:rPr>
            </w:pPr>
          </w:p>
          <w:p w14:paraId="43FC3FBA" w14:textId="77777777" w:rsidR="009045EB" w:rsidRDefault="0072593A">
            <w:p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In addition, municipalities are faced with low carbon development imperatives and economic growth challenges.  SSEG can play a role in both of these areas, and the document therefore also serves to:</w:t>
            </w:r>
          </w:p>
          <w:p w14:paraId="43FC3FBB"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Promote the development of the SSEG industry by creating a conducive environment for growth.</w:t>
            </w:r>
          </w:p>
        </w:tc>
      </w:tr>
      <w:tr w:rsidR="009045EB" w14:paraId="43FC3FC9" w14:textId="77777777">
        <w:trPr>
          <w:cantSplit/>
        </w:trPr>
        <w:tc>
          <w:tcPr>
            <w:tcW w:w="1644" w:type="dxa"/>
            <w:shd w:val="clear" w:color="auto" w:fill="auto"/>
          </w:tcPr>
          <w:p w14:paraId="43FC3FBD" w14:textId="77777777" w:rsidR="009045EB" w:rsidRDefault="0072593A">
            <w:pPr>
              <w:pBdr>
                <w:top w:val="nil"/>
                <w:left w:val="nil"/>
                <w:bottom w:val="nil"/>
                <w:right w:val="nil"/>
                <w:between w:val="nil"/>
              </w:pBdr>
              <w:spacing w:line="276" w:lineRule="auto"/>
              <w:rPr>
                <w:rFonts w:ascii="Arial" w:eastAsia="Arial" w:hAnsi="Arial" w:cs="Arial"/>
                <w:b/>
                <w:color w:val="000000"/>
                <w:szCs w:val="20"/>
              </w:rPr>
            </w:pPr>
            <w:r>
              <w:rPr>
                <w:rFonts w:ascii="Arial" w:eastAsia="Arial" w:hAnsi="Arial" w:cs="Arial"/>
                <w:b/>
                <w:color w:val="000000"/>
                <w:szCs w:val="20"/>
              </w:rPr>
              <w:t xml:space="preserve">Scope </w:t>
            </w:r>
          </w:p>
        </w:tc>
        <w:tc>
          <w:tcPr>
            <w:tcW w:w="7225" w:type="dxa"/>
            <w:shd w:val="clear" w:color="auto" w:fill="auto"/>
          </w:tcPr>
          <w:p w14:paraId="43FC3FBE" w14:textId="77777777" w:rsidR="009045EB" w:rsidRDefault="0072593A">
            <w:p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This document covers:</w:t>
            </w:r>
          </w:p>
          <w:p w14:paraId="43FC3FBF" w14:textId="77777777" w:rsidR="009045EB" w:rsidRDefault="0072593A">
            <w:pPr>
              <w:numPr>
                <w:ilvl w:val="0"/>
                <w:numId w:val="1"/>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connection SSEG installations to the </w:t>
            </w:r>
            <w:r w:rsidRPr="008A6302">
              <w:rPr>
                <w:rFonts w:ascii="Arial" w:eastAsia="Arial" w:hAnsi="Arial" w:cs="Arial"/>
                <w:color w:val="000000"/>
                <w:szCs w:val="20"/>
                <w:u w:val="single"/>
              </w:rPr>
              <w:t>municipal electrical network</w:t>
            </w:r>
            <w:r>
              <w:rPr>
                <w:rFonts w:ascii="Arial" w:eastAsia="Arial" w:hAnsi="Arial" w:cs="Arial"/>
                <w:color w:val="000000"/>
                <w:szCs w:val="20"/>
              </w:rPr>
              <w:t xml:space="preserve"> </w:t>
            </w:r>
          </w:p>
          <w:p w14:paraId="43FC3FC0" w14:textId="537EC81F" w:rsidR="009045EB" w:rsidRDefault="0072593A">
            <w:pPr>
              <w:numPr>
                <w:ilvl w:val="0"/>
                <w:numId w:val="1"/>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Installations </w:t>
            </w:r>
            <w:r w:rsidRPr="008A6302">
              <w:rPr>
                <w:rFonts w:ascii="Arial" w:eastAsia="Arial" w:hAnsi="Arial" w:cs="Arial"/>
                <w:color w:val="000000"/>
                <w:szCs w:val="20"/>
                <w:u w:val="single"/>
              </w:rPr>
              <w:t>up to 1MVA</w:t>
            </w:r>
          </w:p>
          <w:p w14:paraId="43FC3FC1" w14:textId="77777777" w:rsidR="009045EB" w:rsidRDefault="0072593A">
            <w:pPr>
              <w:numPr>
                <w:ilvl w:val="0"/>
                <w:numId w:val="1"/>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Installations connected to </w:t>
            </w:r>
            <w:r w:rsidRPr="008A6302">
              <w:rPr>
                <w:rFonts w:ascii="Arial" w:eastAsia="Arial" w:hAnsi="Arial" w:cs="Arial"/>
                <w:color w:val="000000"/>
                <w:szCs w:val="20"/>
                <w:u w:val="single"/>
              </w:rPr>
              <w:t>low voltage networks</w:t>
            </w:r>
          </w:p>
          <w:p w14:paraId="43FC3FC2" w14:textId="41D03962" w:rsidR="009045EB" w:rsidRDefault="0072593A">
            <w:pPr>
              <w:numPr>
                <w:ilvl w:val="0"/>
                <w:numId w:val="1"/>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Installations </w:t>
            </w:r>
            <w:r w:rsidR="00E6326F">
              <w:rPr>
                <w:rFonts w:ascii="Arial" w:eastAsia="Arial" w:hAnsi="Arial" w:cs="Arial"/>
                <w:color w:val="000000"/>
                <w:szCs w:val="20"/>
              </w:rPr>
              <w:t>with</w:t>
            </w:r>
            <w:r>
              <w:rPr>
                <w:rFonts w:ascii="Arial" w:eastAsia="Arial" w:hAnsi="Arial" w:cs="Arial"/>
                <w:color w:val="000000"/>
                <w:szCs w:val="20"/>
              </w:rPr>
              <w:t xml:space="preserve"> </w:t>
            </w:r>
            <w:r w:rsidRPr="008A6302">
              <w:rPr>
                <w:rFonts w:ascii="Arial" w:eastAsia="Arial" w:hAnsi="Arial" w:cs="Arial"/>
                <w:color w:val="000000"/>
                <w:szCs w:val="20"/>
                <w:u w:val="single"/>
              </w:rPr>
              <w:t>self-consumption</w:t>
            </w:r>
          </w:p>
          <w:p w14:paraId="43FC3FC3" w14:textId="77777777" w:rsidR="009045EB" w:rsidRPr="00541E14"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This </w:t>
            </w:r>
            <w:r w:rsidRPr="00541E14">
              <w:rPr>
                <w:rFonts w:ascii="Arial" w:eastAsia="Arial" w:hAnsi="Arial" w:cs="Arial"/>
                <w:color w:val="000000"/>
                <w:szCs w:val="20"/>
              </w:rPr>
              <w:t>document does not provide detail on:</w:t>
            </w:r>
          </w:p>
          <w:p w14:paraId="43FC3FC4" w14:textId="7CA80DF7" w:rsidR="009045EB" w:rsidRPr="00541E14" w:rsidRDefault="0072593A">
            <w:pPr>
              <w:numPr>
                <w:ilvl w:val="0"/>
                <w:numId w:val="1"/>
              </w:numPr>
              <w:pBdr>
                <w:top w:val="nil"/>
                <w:left w:val="nil"/>
                <w:bottom w:val="nil"/>
                <w:right w:val="nil"/>
                <w:between w:val="nil"/>
              </w:pBdr>
              <w:spacing w:line="276" w:lineRule="auto"/>
              <w:jc w:val="both"/>
              <w:rPr>
                <w:rFonts w:ascii="Arial" w:eastAsia="Arial" w:hAnsi="Arial" w:cs="Arial"/>
                <w:color w:val="000000"/>
                <w:szCs w:val="20"/>
              </w:rPr>
            </w:pPr>
            <w:r w:rsidRPr="00541E14">
              <w:rPr>
                <w:rFonts w:ascii="Arial" w:eastAsia="Arial" w:hAnsi="Arial" w:cs="Arial"/>
                <w:color w:val="000000"/>
                <w:szCs w:val="20"/>
              </w:rPr>
              <w:t xml:space="preserve">Systems with a generation capacity </w:t>
            </w:r>
            <w:r w:rsidRPr="00285ECD">
              <w:rPr>
                <w:rFonts w:ascii="Arial" w:eastAsia="Arial" w:hAnsi="Arial" w:cs="Arial"/>
                <w:color w:val="000000"/>
                <w:szCs w:val="20"/>
                <w:u w:val="single"/>
              </w:rPr>
              <w:t>above 1MVA</w:t>
            </w:r>
            <w:r w:rsidRPr="00541E14">
              <w:rPr>
                <w:rFonts w:ascii="Arial" w:eastAsia="Arial" w:hAnsi="Arial" w:cs="Arial"/>
                <w:color w:val="000000"/>
                <w:szCs w:val="20"/>
              </w:rPr>
              <w:t xml:space="preserve"> (anyone wanting to connect a SSEG system greater than 1MVA should engage with the municipality </w:t>
            </w:r>
            <w:r w:rsidR="00D81348" w:rsidRPr="00541E14">
              <w:rPr>
                <w:rFonts w:ascii="Arial" w:eastAsia="Arial" w:hAnsi="Arial" w:cs="Arial"/>
                <w:color w:val="000000"/>
                <w:szCs w:val="20"/>
              </w:rPr>
              <w:t xml:space="preserve">for </w:t>
            </w:r>
            <w:r w:rsidR="002C4CEC" w:rsidRPr="00541E14">
              <w:rPr>
                <w:rFonts w:ascii="Arial" w:eastAsia="Arial" w:hAnsi="Arial" w:cs="Arial"/>
                <w:color w:val="000000"/>
                <w:szCs w:val="20"/>
              </w:rPr>
              <w:t>relevant requirements and procedures</w:t>
            </w:r>
            <w:r w:rsidRPr="00541E14">
              <w:rPr>
                <w:rFonts w:ascii="Arial" w:eastAsia="Arial" w:hAnsi="Arial" w:cs="Arial"/>
                <w:color w:val="000000"/>
                <w:szCs w:val="20"/>
              </w:rPr>
              <w:t xml:space="preserve"> before commencing with any application).</w:t>
            </w:r>
          </w:p>
          <w:p w14:paraId="43FC3FC5" w14:textId="77777777" w:rsidR="009045EB" w:rsidRDefault="0072593A">
            <w:pPr>
              <w:numPr>
                <w:ilvl w:val="0"/>
                <w:numId w:val="1"/>
              </w:numPr>
              <w:pBdr>
                <w:top w:val="nil"/>
                <w:left w:val="nil"/>
                <w:bottom w:val="nil"/>
                <w:right w:val="nil"/>
                <w:between w:val="nil"/>
              </w:pBdr>
              <w:spacing w:line="276" w:lineRule="auto"/>
              <w:jc w:val="both"/>
              <w:rPr>
                <w:rFonts w:ascii="Arial" w:eastAsia="Arial" w:hAnsi="Arial" w:cs="Arial"/>
                <w:color w:val="000000"/>
                <w:szCs w:val="20"/>
              </w:rPr>
            </w:pPr>
            <w:r w:rsidRPr="00285ECD">
              <w:rPr>
                <w:rFonts w:ascii="Arial" w:eastAsia="Arial" w:hAnsi="Arial" w:cs="Arial"/>
                <w:color w:val="000000"/>
                <w:szCs w:val="20"/>
                <w:u w:val="single"/>
              </w:rPr>
              <w:t>Wheeling</w:t>
            </w:r>
            <w:r>
              <w:rPr>
                <w:rFonts w:ascii="Arial" w:eastAsia="Arial" w:hAnsi="Arial" w:cs="Arial"/>
                <w:color w:val="000000"/>
                <w:szCs w:val="20"/>
              </w:rPr>
              <w:t xml:space="preserve"> of electricity </w:t>
            </w:r>
          </w:p>
          <w:p w14:paraId="43FC3FC6" w14:textId="77777777" w:rsidR="009045EB" w:rsidRDefault="0072593A">
            <w:pPr>
              <w:numPr>
                <w:ilvl w:val="0"/>
                <w:numId w:val="1"/>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connection of SSEG to the </w:t>
            </w:r>
            <w:r w:rsidRPr="00285ECD">
              <w:rPr>
                <w:rFonts w:ascii="Arial" w:eastAsia="Arial" w:hAnsi="Arial" w:cs="Arial"/>
                <w:color w:val="000000"/>
                <w:szCs w:val="20"/>
                <w:u w:val="single"/>
              </w:rPr>
              <w:t>Eskom</w:t>
            </w:r>
            <w:r>
              <w:rPr>
                <w:rFonts w:ascii="Arial" w:eastAsia="Arial" w:hAnsi="Arial" w:cs="Arial"/>
                <w:color w:val="000000"/>
                <w:szCs w:val="20"/>
              </w:rPr>
              <w:t xml:space="preserve"> electrical grid.</w:t>
            </w:r>
          </w:p>
          <w:p w14:paraId="43FC3FC8" w14:textId="7FC23574" w:rsidR="009045EB" w:rsidRPr="00873B5D" w:rsidRDefault="0072593A" w:rsidP="00873B5D">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Systems connecting to </w:t>
            </w:r>
            <w:r w:rsidRPr="00285ECD">
              <w:rPr>
                <w:rFonts w:ascii="Arial" w:eastAsia="Arial" w:hAnsi="Arial" w:cs="Arial"/>
                <w:color w:val="000000"/>
                <w:szCs w:val="20"/>
                <w:u w:val="single"/>
              </w:rPr>
              <w:t>MV and HV networks</w:t>
            </w:r>
            <w:r>
              <w:rPr>
                <w:rFonts w:ascii="Arial" w:eastAsia="Arial" w:hAnsi="Arial" w:cs="Arial"/>
                <w:color w:val="000000"/>
                <w:szCs w:val="20"/>
              </w:rPr>
              <w:t xml:space="preserve"> (although the NRS 097-1 standards covering MV and HV connections are not complete, such systems may be approved by the Municipality, but are likely to require further grid studies and should be discussed separately with the municipality)</w:t>
            </w:r>
          </w:p>
        </w:tc>
      </w:tr>
      <w:tr w:rsidR="009045EB" w14:paraId="43FC3FD2" w14:textId="77777777">
        <w:trPr>
          <w:cantSplit/>
        </w:trPr>
        <w:tc>
          <w:tcPr>
            <w:tcW w:w="1644" w:type="dxa"/>
            <w:shd w:val="clear" w:color="auto" w:fill="auto"/>
          </w:tcPr>
          <w:p w14:paraId="43FC3FCA" w14:textId="77777777" w:rsidR="009045EB" w:rsidRDefault="0072593A">
            <w:pPr>
              <w:pBdr>
                <w:top w:val="nil"/>
                <w:left w:val="nil"/>
                <w:bottom w:val="nil"/>
                <w:right w:val="nil"/>
                <w:between w:val="nil"/>
              </w:pBdr>
              <w:spacing w:line="276" w:lineRule="auto"/>
              <w:rPr>
                <w:rFonts w:ascii="Arial" w:eastAsia="Arial" w:hAnsi="Arial" w:cs="Arial"/>
                <w:b/>
                <w:color w:val="000000"/>
                <w:szCs w:val="20"/>
              </w:rPr>
            </w:pPr>
            <w:r>
              <w:rPr>
                <w:rFonts w:ascii="Arial" w:eastAsia="Arial" w:hAnsi="Arial" w:cs="Arial"/>
                <w:b/>
                <w:color w:val="000000"/>
                <w:szCs w:val="20"/>
              </w:rPr>
              <w:lastRenderedPageBreak/>
              <w:t>Who this document is for</w:t>
            </w:r>
          </w:p>
        </w:tc>
        <w:tc>
          <w:tcPr>
            <w:tcW w:w="7225" w:type="dxa"/>
            <w:shd w:val="clear" w:color="auto" w:fill="auto"/>
          </w:tcPr>
          <w:p w14:paraId="43FC3FCB" w14:textId="77777777" w:rsidR="009045EB" w:rsidRDefault="0072593A">
            <w:p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This document will assist all relevant stakeholders involved in the commissioning, installation, management and ownership of an SSEG system, with generation capacity less than or equal to 1 MVA (1000 kVA), including: </w:t>
            </w:r>
          </w:p>
          <w:p w14:paraId="43FC3FCC"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SSEG project developers </w:t>
            </w:r>
          </w:p>
          <w:p w14:paraId="43FC3FCD"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Residential and commercial property owners </w:t>
            </w:r>
          </w:p>
          <w:p w14:paraId="43FC3FCE"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SSEG installers </w:t>
            </w:r>
          </w:p>
          <w:p w14:paraId="43FC3FCF"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Energy consultants commissioned to design SSEG systems </w:t>
            </w:r>
          </w:p>
          <w:p w14:paraId="43FC3FD0"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Municipal officials involved in SSEG generation </w:t>
            </w:r>
          </w:p>
          <w:p w14:paraId="43FC3FD1" w14:textId="77777777" w:rsidR="009045EB" w:rsidRDefault="0072593A">
            <w:pPr>
              <w:numPr>
                <w:ilvl w:val="0"/>
                <w:numId w:val="1"/>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 xml:space="preserve">Registered technical personnel who are involved in SSEG commissioning </w:t>
            </w:r>
          </w:p>
        </w:tc>
      </w:tr>
    </w:tbl>
    <w:p w14:paraId="43FC3FD3" w14:textId="090F64E1" w:rsidR="009045EB" w:rsidRDefault="007300A4" w:rsidP="00531888">
      <w:pPr>
        <w:pStyle w:val="BodyText"/>
        <w:rPr>
          <w:rFonts w:ascii="Arial" w:eastAsia="Arial" w:hAnsi="Arial" w:cs="Arial"/>
        </w:rPr>
      </w:pPr>
      <w:r w:rsidRPr="001A2FBB">
        <w:rPr>
          <w:noProof/>
        </w:rPr>
        <w:drawing>
          <wp:inline distT="0" distB="0" distL="0" distR="0" wp14:anchorId="2E9DBC38" wp14:editId="24451AD7">
            <wp:extent cx="6501682" cy="5142016"/>
            <wp:effectExtent l="0" t="0" r="0" b="1905"/>
            <wp:docPr id="6" name="Picture 6" descr="C:\Users\jsiteto\Downloads\Mr Site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iteto\Downloads\Mr Siteto (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96" t="152" b="303"/>
                    <a:stretch/>
                  </pic:blipFill>
                  <pic:spPr bwMode="auto">
                    <a:xfrm>
                      <a:off x="0" y="0"/>
                      <a:ext cx="6507573" cy="5146675"/>
                    </a:xfrm>
                    <a:prstGeom prst="rect">
                      <a:avLst/>
                    </a:prstGeom>
                    <a:noFill/>
                    <a:ln>
                      <a:noFill/>
                    </a:ln>
                    <a:extLst>
                      <a:ext uri="{53640926-AAD7-44D8-BBD7-CCE9431645EC}">
                        <a14:shadowObscured xmlns:a14="http://schemas.microsoft.com/office/drawing/2010/main"/>
                      </a:ext>
                    </a:extLst>
                  </pic:spPr>
                </pic:pic>
              </a:graphicData>
            </a:graphic>
          </wp:inline>
        </w:drawing>
      </w:r>
      <w:r w:rsidR="0072593A">
        <w:rPr>
          <w:noProof/>
          <w:lang w:val="en-GB"/>
        </w:rPr>
        <w:drawing>
          <wp:anchor distT="0" distB="0" distL="0" distR="0" simplePos="0" relativeHeight="251652096" behindDoc="1" locked="0" layoutInCell="1" hidden="0" allowOverlap="1" wp14:anchorId="43FC42C9" wp14:editId="43FC42CA">
            <wp:simplePos x="0" y="0"/>
            <wp:positionH relativeFrom="column">
              <wp:posOffset>4318000</wp:posOffset>
            </wp:positionH>
            <wp:positionV relativeFrom="paragraph">
              <wp:posOffset>103504</wp:posOffset>
            </wp:positionV>
            <wp:extent cx="1739900" cy="2438400"/>
            <wp:effectExtent l="0" t="0" r="0" b="0"/>
            <wp:wrapNone/>
            <wp:docPr id="10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739900" cy="2438400"/>
                    </a:xfrm>
                    <a:prstGeom prst="rect">
                      <a:avLst/>
                    </a:prstGeom>
                    <a:ln/>
                  </pic:spPr>
                </pic:pic>
              </a:graphicData>
            </a:graphic>
          </wp:anchor>
        </w:drawing>
      </w:r>
    </w:p>
    <w:p w14:paraId="43FC3FD4" w14:textId="2223EC1C"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br w:type="page"/>
      </w:r>
      <w:r>
        <w:rPr>
          <w:noProof/>
        </w:rPr>
        <w:drawing>
          <wp:anchor distT="0" distB="0" distL="0" distR="0" simplePos="0" relativeHeight="251653120" behindDoc="1" locked="0" layoutInCell="1" hidden="0" allowOverlap="1" wp14:anchorId="43FC42CB" wp14:editId="18235F4A">
            <wp:simplePos x="0" y="0"/>
            <wp:positionH relativeFrom="column">
              <wp:posOffset>635000</wp:posOffset>
            </wp:positionH>
            <wp:positionV relativeFrom="paragraph">
              <wp:posOffset>59689</wp:posOffset>
            </wp:positionV>
            <wp:extent cx="3895090" cy="3698240"/>
            <wp:effectExtent l="190500" t="190500" r="190500" b="190500"/>
            <wp:wrapNone/>
            <wp:docPr id="10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3895090" cy="3698240"/>
                    </a:xfrm>
                    <a:prstGeom prst="rect">
                      <a:avLst/>
                    </a:prstGeom>
                    <a:ln w="190500">
                      <a:solidFill>
                        <a:srgbClr val="FFFFFF"/>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4144" behindDoc="1" locked="0" layoutInCell="1" hidden="0" allowOverlap="1" wp14:anchorId="43FC42CD" wp14:editId="43FC42CE">
            <wp:simplePos x="0" y="0"/>
            <wp:positionH relativeFrom="column">
              <wp:posOffset>-411479</wp:posOffset>
            </wp:positionH>
            <wp:positionV relativeFrom="paragraph">
              <wp:posOffset>2416810</wp:posOffset>
            </wp:positionV>
            <wp:extent cx="1261745" cy="1768475"/>
            <wp:effectExtent l="0" t="0" r="0" b="0"/>
            <wp:wrapNone/>
            <wp:docPr id="10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10800000">
                      <a:off x="0" y="0"/>
                      <a:ext cx="1261745" cy="1768475"/>
                    </a:xfrm>
                    <a:prstGeom prst="rect">
                      <a:avLst/>
                    </a:prstGeom>
                    <a:ln/>
                  </pic:spPr>
                </pic:pic>
              </a:graphicData>
            </a:graphic>
          </wp:anchor>
        </w:drawing>
      </w:r>
    </w:p>
    <w:p w14:paraId="43FC3FD5"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3FD6"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3FD7" w14:textId="77777777" w:rsidR="009045EB" w:rsidRDefault="009045EB">
      <w:pPr>
        <w:pBdr>
          <w:top w:val="nil"/>
          <w:left w:val="nil"/>
          <w:bottom w:val="nil"/>
          <w:right w:val="nil"/>
          <w:between w:val="nil"/>
        </w:pBdr>
        <w:spacing w:line="276" w:lineRule="auto"/>
        <w:jc w:val="both"/>
        <w:rPr>
          <w:rFonts w:ascii="Arial" w:eastAsia="Arial" w:hAnsi="Arial" w:cs="Arial"/>
          <w:color w:val="0067B2"/>
          <w:sz w:val="28"/>
          <w:szCs w:val="28"/>
        </w:rPr>
      </w:pPr>
    </w:p>
    <w:p w14:paraId="43FC3FD8" w14:textId="77777777" w:rsidR="009045EB" w:rsidRDefault="0072593A">
      <w:pPr>
        <w:pStyle w:val="Heading1"/>
        <w:numPr>
          <w:ilvl w:val="0"/>
          <w:numId w:val="4"/>
        </w:numPr>
        <w:rPr>
          <w:rFonts w:ascii="Arial" w:eastAsia="Arial" w:hAnsi="Arial" w:cs="Arial"/>
        </w:rPr>
      </w:pPr>
      <w:bookmarkStart w:id="2" w:name="_Toc128033201"/>
      <w:r>
        <w:rPr>
          <w:rFonts w:ascii="Arial" w:eastAsia="Arial" w:hAnsi="Arial" w:cs="Arial"/>
        </w:rPr>
        <w:t>Glossary &amp; Definitions</w:t>
      </w:r>
      <w:bookmarkEnd w:id="2"/>
      <w:r>
        <w:rPr>
          <w:rFonts w:ascii="Arial" w:eastAsia="Arial" w:hAnsi="Arial" w:cs="Arial"/>
        </w:rPr>
        <w:t xml:space="preserve"> </w:t>
      </w:r>
    </w:p>
    <w:tbl>
      <w:tblPr>
        <w:tblStyle w:val="a3"/>
        <w:tblW w:w="8897" w:type="dxa"/>
        <w:tblBorders>
          <w:top w:val="single" w:sz="4" w:space="0" w:color="75B5E4"/>
          <w:left w:val="single" w:sz="4" w:space="0" w:color="75B5E4"/>
          <w:bottom w:val="single" w:sz="4" w:space="0" w:color="75B5E4"/>
          <w:right w:val="single" w:sz="4" w:space="0" w:color="75B5E4"/>
          <w:insideH w:val="single" w:sz="4" w:space="0" w:color="75B5E4"/>
          <w:insideV w:val="single" w:sz="4" w:space="0" w:color="75B5E4"/>
        </w:tblBorders>
        <w:tblLayout w:type="fixed"/>
        <w:tblLook w:val="0600" w:firstRow="0" w:lastRow="0" w:firstColumn="0" w:lastColumn="0" w:noHBand="1" w:noVBand="1"/>
      </w:tblPr>
      <w:tblGrid>
        <w:gridCol w:w="2518"/>
        <w:gridCol w:w="6379"/>
      </w:tblGrid>
      <w:tr w:rsidR="009045EB" w14:paraId="43FC3FDC" w14:textId="77777777" w:rsidTr="00FB7A2C">
        <w:trPr>
          <w:trHeight w:val="790"/>
        </w:trPr>
        <w:tc>
          <w:tcPr>
            <w:tcW w:w="2518" w:type="dxa"/>
            <w:tcBorders>
              <w:bottom w:val="single" w:sz="4" w:space="0" w:color="A4C9DE"/>
            </w:tcBorders>
            <w:shd w:val="clear" w:color="auto" w:fill="auto"/>
          </w:tcPr>
          <w:p w14:paraId="43FC3FD9"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Alternating current </w:t>
            </w:r>
          </w:p>
          <w:p w14:paraId="43FC3FDA" w14:textId="77777777" w:rsidR="009045EB" w:rsidRDefault="009045EB">
            <w:pPr>
              <w:pBdr>
                <w:top w:val="nil"/>
                <w:left w:val="nil"/>
                <w:bottom w:val="nil"/>
                <w:right w:val="nil"/>
                <w:between w:val="nil"/>
              </w:pBdr>
              <w:spacing w:before="0" w:after="0" w:line="276" w:lineRule="auto"/>
              <w:rPr>
                <w:rFonts w:eastAsia="Arial" w:cs="Arial"/>
                <w:b/>
                <w:sz w:val="20"/>
                <w:szCs w:val="20"/>
              </w:rPr>
            </w:pPr>
          </w:p>
        </w:tc>
        <w:tc>
          <w:tcPr>
            <w:tcW w:w="6379" w:type="dxa"/>
            <w:shd w:val="clear" w:color="auto" w:fill="auto"/>
          </w:tcPr>
          <w:p w14:paraId="43FC3FDB"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The flow of electrical energy that follows a sine wave and changes direction at a fixed frequency (i.e. it ‘alternates’). Most residential and commercial uses of electricity require alternating current. </w:t>
            </w:r>
          </w:p>
        </w:tc>
      </w:tr>
      <w:tr w:rsidR="009045EB" w14:paraId="43FC3FE0" w14:textId="77777777">
        <w:trPr>
          <w:trHeight w:val="704"/>
        </w:trPr>
        <w:tc>
          <w:tcPr>
            <w:tcW w:w="2518" w:type="dxa"/>
            <w:tcBorders>
              <w:top w:val="single" w:sz="4" w:space="0" w:color="A4C9DE"/>
            </w:tcBorders>
            <w:shd w:val="clear" w:color="auto" w:fill="E6EEF0"/>
          </w:tcPr>
          <w:p w14:paraId="43FC3FDD"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Direct current </w:t>
            </w:r>
          </w:p>
          <w:p w14:paraId="43FC3FDE" w14:textId="77777777" w:rsidR="009045EB" w:rsidRDefault="009045EB">
            <w:pPr>
              <w:pBdr>
                <w:top w:val="nil"/>
                <w:left w:val="nil"/>
                <w:bottom w:val="nil"/>
                <w:right w:val="nil"/>
                <w:between w:val="nil"/>
              </w:pBdr>
              <w:spacing w:before="0" w:after="0" w:line="276" w:lineRule="auto"/>
              <w:rPr>
                <w:rFonts w:eastAsia="Arial" w:cs="Arial"/>
                <w:b/>
                <w:sz w:val="20"/>
                <w:szCs w:val="20"/>
              </w:rPr>
            </w:pPr>
          </w:p>
        </w:tc>
        <w:tc>
          <w:tcPr>
            <w:tcW w:w="6379" w:type="dxa"/>
            <w:shd w:val="clear" w:color="auto" w:fill="E6EEF0"/>
          </w:tcPr>
          <w:p w14:paraId="43FC3FDF"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The flow of electrical energy in one constant direction. Direct current is typically converted to alternating current for practical purposes as most modern uses of electricity require alternating current. </w:t>
            </w:r>
          </w:p>
        </w:tc>
      </w:tr>
      <w:tr w:rsidR="009045EB" w14:paraId="43FC3FE4" w14:textId="77777777" w:rsidTr="00E95BB0">
        <w:tc>
          <w:tcPr>
            <w:tcW w:w="2518" w:type="dxa"/>
            <w:shd w:val="clear" w:color="auto" w:fill="auto"/>
          </w:tcPr>
          <w:p w14:paraId="43FC3FE1"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Anti-Islanding </w:t>
            </w:r>
          </w:p>
          <w:p w14:paraId="43FC3FE2" w14:textId="77777777" w:rsidR="009045EB" w:rsidRDefault="009045EB">
            <w:pPr>
              <w:pBdr>
                <w:top w:val="nil"/>
                <w:left w:val="nil"/>
                <w:bottom w:val="nil"/>
                <w:right w:val="nil"/>
                <w:between w:val="nil"/>
              </w:pBdr>
              <w:spacing w:before="0" w:after="0" w:line="276" w:lineRule="auto"/>
              <w:rPr>
                <w:rFonts w:eastAsia="Arial" w:cs="Arial"/>
                <w:b/>
                <w:sz w:val="20"/>
                <w:szCs w:val="20"/>
              </w:rPr>
            </w:pPr>
          </w:p>
        </w:tc>
        <w:tc>
          <w:tcPr>
            <w:tcW w:w="6379" w:type="dxa"/>
            <w:shd w:val="clear" w:color="auto" w:fill="auto"/>
          </w:tcPr>
          <w:p w14:paraId="43FC3FE3"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The ability of an SSEG installation to instantly and automatically disconnect the SSEG installation from the municipal electrical network whenever there is a power outage in the municipal electrical network, thus preventing the export of electricity to the municipal electrical network from the SSEG installation. This is done primarily to protect municipal electrical network workers who may be working on the electrical network and who may be unaware that the electrical network is still being energized by the SSEG. </w:t>
            </w:r>
          </w:p>
        </w:tc>
      </w:tr>
      <w:tr w:rsidR="009045EB" w14:paraId="43FC3FE7" w14:textId="77777777">
        <w:tc>
          <w:tcPr>
            <w:tcW w:w="2518" w:type="dxa"/>
            <w:shd w:val="clear" w:color="auto" w:fill="E6EEF0"/>
          </w:tcPr>
          <w:p w14:paraId="43FC3FE5"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Bi-directional meter </w:t>
            </w:r>
          </w:p>
        </w:tc>
        <w:tc>
          <w:tcPr>
            <w:tcW w:w="6379" w:type="dxa"/>
            <w:shd w:val="clear" w:color="auto" w:fill="E6EEF0"/>
          </w:tcPr>
          <w:p w14:paraId="43FC3FE6"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A meter that separately measures electricity flow in both directions (import and export) </w:t>
            </w:r>
          </w:p>
        </w:tc>
      </w:tr>
      <w:tr w:rsidR="009045EB" w14:paraId="43FC3FEA" w14:textId="77777777" w:rsidTr="00FB7A2C">
        <w:tc>
          <w:tcPr>
            <w:tcW w:w="2518" w:type="dxa"/>
            <w:shd w:val="clear" w:color="auto" w:fill="auto"/>
          </w:tcPr>
          <w:p w14:paraId="43FC3FE8"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Customer </w:t>
            </w:r>
          </w:p>
        </w:tc>
        <w:tc>
          <w:tcPr>
            <w:tcW w:w="6379" w:type="dxa"/>
            <w:shd w:val="clear" w:color="auto" w:fill="auto"/>
          </w:tcPr>
          <w:p w14:paraId="43FC3FE9"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In the context of this document, customers who also generate shall be referred to as “customers”, although in effect they are generators. </w:t>
            </w:r>
          </w:p>
        </w:tc>
      </w:tr>
      <w:tr w:rsidR="009045EB" w14:paraId="43FC3FED" w14:textId="77777777">
        <w:tc>
          <w:tcPr>
            <w:tcW w:w="2518" w:type="dxa"/>
            <w:shd w:val="clear" w:color="auto" w:fill="E6EEF0"/>
          </w:tcPr>
          <w:p w14:paraId="43FC3FEB"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Embedded generator</w:t>
            </w:r>
          </w:p>
        </w:tc>
        <w:tc>
          <w:tcPr>
            <w:tcW w:w="6379" w:type="dxa"/>
            <w:shd w:val="clear" w:color="auto" w:fill="E6EEF0"/>
          </w:tcPr>
          <w:p w14:paraId="43FC3FEC"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A generator connected to the municipal distribution network. These are typically on a customer’s property and behind their meter.</w:t>
            </w:r>
          </w:p>
        </w:tc>
      </w:tr>
      <w:tr w:rsidR="009045EB" w14:paraId="43FC3FF1" w14:textId="77777777">
        <w:tc>
          <w:tcPr>
            <w:tcW w:w="2518" w:type="dxa"/>
            <w:shd w:val="clear" w:color="auto" w:fill="auto"/>
          </w:tcPr>
          <w:p w14:paraId="43FC3FEE"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Generating capacity </w:t>
            </w:r>
          </w:p>
          <w:p w14:paraId="43FC3FEF" w14:textId="77777777" w:rsidR="009045EB" w:rsidRDefault="009045EB">
            <w:pPr>
              <w:pBdr>
                <w:top w:val="nil"/>
                <w:left w:val="nil"/>
                <w:bottom w:val="nil"/>
                <w:right w:val="nil"/>
                <w:between w:val="nil"/>
              </w:pBdr>
              <w:spacing w:before="0" w:after="0" w:line="276" w:lineRule="auto"/>
              <w:rPr>
                <w:rFonts w:eastAsia="Arial" w:cs="Arial"/>
                <w:b/>
                <w:sz w:val="20"/>
                <w:szCs w:val="20"/>
              </w:rPr>
            </w:pPr>
          </w:p>
        </w:tc>
        <w:tc>
          <w:tcPr>
            <w:tcW w:w="6379" w:type="dxa"/>
            <w:shd w:val="clear" w:color="auto" w:fill="auto"/>
          </w:tcPr>
          <w:p w14:paraId="43FC3FF0"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The maximum amount of electricity, measured in kilovolt Amperes (kVA), which can flow out of the generation equipment into the customer’s alternating current wiring system. This is therefore the maximum alternating current power flow which can be generated by the system in its current configuration. </w:t>
            </w:r>
          </w:p>
        </w:tc>
      </w:tr>
      <w:tr w:rsidR="009045EB" w14:paraId="43FC3FF5" w14:textId="77777777">
        <w:tc>
          <w:tcPr>
            <w:tcW w:w="2518" w:type="dxa"/>
            <w:shd w:val="clear" w:color="auto" w:fill="E6EEF0"/>
          </w:tcPr>
          <w:p w14:paraId="43FC3FF2"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Grid-tied </w:t>
            </w:r>
          </w:p>
          <w:p w14:paraId="43FC3FF3" w14:textId="77777777" w:rsidR="009045EB" w:rsidRDefault="009045EB">
            <w:pPr>
              <w:pBdr>
                <w:top w:val="nil"/>
                <w:left w:val="nil"/>
                <w:bottom w:val="nil"/>
                <w:right w:val="nil"/>
                <w:between w:val="nil"/>
              </w:pBdr>
              <w:spacing w:before="0" w:after="0" w:line="276" w:lineRule="auto"/>
              <w:rPr>
                <w:rFonts w:eastAsia="Arial" w:cs="Arial"/>
                <w:b/>
                <w:sz w:val="20"/>
                <w:szCs w:val="20"/>
              </w:rPr>
            </w:pPr>
          </w:p>
        </w:tc>
        <w:tc>
          <w:tcPr>
            <w:tcW w:w="6379" w:type="dxa"/>
            <w:shd w:val="clear" w:color="auto" w:fill="E6EEF0"/>
          </w:tcPr>
          <w:p w14:paraId="43FC3FF4"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An SSEG installation that is connected to the municipal electrical network either directly or through a customer’s internal wiring is said to be “grid-tied”. The export of energy onto the municipal electrical network is possible when generation exceeds the customer’s consumption at any point in time. </w:t>
            </w:r>
          </w:p>
        </w:tc>
      </w:tr>
      <w:tr w:rsidR="009045EB" w14:paraId="43FC3FF8" w14:textId="77777777">
        <w:tc>
          <w:tcPr>
            <w:tcW w:w="2518" w:type="dxa"/>
            <w:shd w:val="clear" w:color="auto" w:fill="auto"/>
          </w:tcPr>
          <w:p w14:paraId="43FC3FF6"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Hybrid grid-tied system</w:t>
            </w:r>
          </w:p>
        </w:tc>
        <w:tc>
          <w:tcPr>
            <w:tcW w:w="6379" w:type="dxa"/>
            <w:shd w:val="clear" w:color="auto" w:fill="auto"/>
          </w:tcPr>
          <w:p w14:paraId="43FC3FF7" w14:textId="3CCF11E9" w:rsidR="009045EB" w:rsidRDefault="00BD6E4A">
            <w:pPr>
              <w:pBdr>
                <w:top w:val="nil"/>
                <w:left w:val="nil"/>
                <w:bottom w:val="nil"/>
                <w:right w:val="nil"/>
                <w:between w:val="nil"/>
              </w:pBdr>
              <w:spacing w:before="0" w:after="0" w:line="276" w:lineRule="auto"/>
              <w:rPr>
                <w:rFonts w:eastAsia="Arial" w:cs="Arial"/>
                <w:sz w:val="20"/>
                <w:szCs w:val="20"/>
              </w:rPr>
            </w:pPr>
            <w:r w:rsidRPr="00584218">
              <w:rPr>
                <w:rFonts w:eastAsia="Arial" w:cs="Arial"/>
                <w:b/>
                <w:bCs/>
                <w:sz w:val="20"/>
                <w:szCs w:val="20"/>
              </w:rPr>
              <w:t>As used in this document</w:t>
            </w:r>
            <w:r>
              <w:rPr>
                <w:rFonts w:eastAsia="Arial" w:cs="Arial"/>
                <w:sz w:val="20"/>
                <w:szCs w:val="20"/>
              </w:rPr>
              <w:t xml:space="preserve">: </w:t>
            </w:r>
            <w:r w:rsidR="0072593A">
              <w:rPr>
                <w:rFonts w:eastAsia="Arial" w:cs="Arial"/>
                <w:sz w:val="20"/>
                <w:szCs w:val="20"/>
              </w:rPr>
              <w:t xml:space="preserve">A generation configuration, typically solar PV, which includes battery storage and where the system can operate in grid-tied mode as well as independently of the grid – for example during </w:t>
            </w:r>
            <w:r w:rsidR="003907EF">
              <w:rPr>
                <w:rFonts w:eastAsia="Arial" w:cs="Arial"/>
                <w:sz w:val="20"/>
                <w:szCs w:val="20"/>
              </w:rPr>
              <w:t>load shedding</w:t>
            </w:r>
            <w:r w:rsidR="0072593A">
              <w:rPr>
                <w:rFonts w:eastAsia="Arial" w:cs="Arial"/>
                <w:sz w:val="20"/>
                <w:szCs w:val="20"/>
              </w:rPr>
              <w:t>.</w:t>
            </w:r>
          </w:p>
        </w:tc>
      </w:tr>
      <w:tr w:rsidR="009045EB" w14:paraId="43FC3FFB" w14:textId="77777777">
        <w:tc>
          <w:tcPr>
            <w:tcW w:w="2518" w:type="dxa"/>
            <w:shd w:val="clear" w:color="auto" w:fill="E6EEF0"/>
          </w:tcPr>
          <w:p w14:paraId="43FC3FF9"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lastRenderedPageBreak/>
              <w:t xml:space="preserve">Inverter </w:t>
            </w:r>
          </w:p>
        </w:tc>
        <w:tc>
          <w:tcPr>
            <w:tcW w:w="6379" w:type="dxa"/>
            <w:shd w:val="clear" w:color="auto" w:fill="E6EEF0"/>
          </w:tcPr>
          <w:p w14:paraId="43FC3FFA"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A power device that converts direct current to alternating current at a voltage and frequency which enables the SSEG installation to be connected to the municipal electrical network. </w:t>
            </w:r>
          </w:p>
        </w:tc>
      </w:tr>
      <w:tr w:rsidR="009045EB" w14:paraId="43FC3FFF" w14:textId="77777777">
        <w:tc>
          <w:tcPr>
            <w:tcW w:w="2518" w:type="dxa"/>
            <w:shd w:val="clear" w:color="auto" w:fill="auto"/>
          </w:tcPr>
          <w:p w14:paraId="43FC3FFC"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Isolated </w:t>
            </w:r>
          </w:p>
          <w:p w14:paraId="43FC3FFD" w14:textId="77777777" w:rsidR="009045EB" w:rsidRDefault="009045EB">
            <w:pPr>
              <w:pBdr>
                <w:top w:val="nil"/>
                <w:left w:val="nil"/>
                <w:bottom w:val="nil"/>
                <w:right w:val="nil"/>
                <w:between w:val="nil"/>
              </w:pBdr>
              <w:spacing w:before="0" w:after="0" w:line="276" w:lineRule="auto"/>
              <w:rPr>
                <w:rFonts w:eastAsia="Arial" w:cs="Arial"/>
                <w:b/>
                <w:sz w:val="20"/>
                <w:szCs w:val="20"/>
              </w:rPr>
            </w:pPr>
          </w:p>
        </w:tc>
        <w:tc>
          <w:tcPr>
            <w:tcW w:w="6379" w:type="dxa"/>
            <w:shd w:val="clear" w:color="auto" w:fill="auto"/>
          </w:tcPr>
          <w:p w14:paraId="43FC3FFE" w14:textId="6C36428F"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A section of a municipal electrical network which is disconnected from all other possible sources of electrical potential is said to be isolated </w:t>
            </w:r>
          </w:p>
        </w:tc>
      </w:tr>
      <w:tr w:rsidR="009045EB" w14:paraId="43FC4002" w14:textId="77777777">
        <w:tc>
          <w:tcPr>
            <w:tcW w:w="2518" w:type="dxa"/>
            <w:shd w:val="clear" w:color="auto" w:fill="E6EEF0"/>
          </w:tcPr>
          <w:p w14:paraId="43FC4000"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Load profile </w:t>
            </w:r>
          </w:p>
        </w:tc>
        <w:tc>
          <w:tcPr>
            <w:tcW w:w="6379" w:type="dxa"/>
            <w:shd w:val="clear" w:color="auto" w:fill="E6EEF0"/>
          </w:tcPr>
          <w:p w14:paraId="43FC4001"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The profile or curve showing the variation of the customer’s rate of electricity consumption (or demand) over time. </w:t>
            </w:r>
          </w:p>
        </w:tc>
      </w:tr>
      <w:tr w:rsidR="009045EB" w14:paraId="43FC4005" w14:textId="77777777">
        <w:tc>
          <w:tcPr>
            <w:tcW w:w="2518" w:type="dxa"/>
            <w:shd w:val="clear" w:color="auto" w:fill="auto"/>
          </w:tcPr>
          <w:p w14:paraId="43FC4003"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Low-voltage </w:t>
            </w:r>
          </w:p>
        </w:tc>
        <w:tc>
          <w:tcPr>
            <w:tcW w:w="6379" w:type="dxa"/>
            <w:shd w:val="clear" w:color="auto" w:fill="auto"/>
          </w:tcPr>
          <w:p w14:paraId="43FC4004"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Voltage levels up to and including 1 kV (1kV= 1000 Volts) </w:t>
            </w:r>
          </w:p>
        </w:tc>
      </w:tr>
      <w:tr w:rsidR="009045EB" w14:paraId="43FC4008" w14:textId="77777777">
        <w:tc>
          <w:tcPr>
            <w:tcW w:w="2518" w:type="dxa"/>
            <w:shd w:val="clear" w:color="auto" w:fill="E6EEF0"/>
          </w:tcPr>
          <w:p w14:paraId="43FC4006"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Medium-voltage </w:t>
            </w:r>
          </w:p>
        </w:tc>
        <w:tc>
          <w:tcPr>
            <w:tcW w:w="6379" w:type="dxa"/>
            <w:shd w:val="clear" w:color="auto" w:fill="E6EEF0"/>
          </w:tcPr>
          <w:p w14:paraId="43FC4007"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Voltage levels greater than 1 kV up to and including 35 kV. </w:t>
            </w:r>
          </w:p>
        </w:tc>
      </w:tr>
      <w:tr w:rsidR="009045EB" w14:paraId="43FC400B" w14:textId="77777777">
        <w:tc>
          <w:tcPr>
            <w:tcW w:w="2518" w:type="dxa"/>
            <w:shd w:val="clear" w:color="auto" w:fill="auto"/>
          </w:tcPr>
          <w:p w14:paraId="43FC4009"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Pr Eng or Pr Tech Eng or Pr Techni Eng</w:t>
            </w:r>
          </w:p>
        </w:tc>
        <w:tc>
          <w:tcPr>
            <w:tcW w:w="6379" w:type="dxa"/>
            <w:shd w:val="clear" w:color="auto" w:fill="auto"/>
          </w:tcPr>
          <w:p w14:paraId="43FC400A"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This refers to a professional engineer, professional technologist or professional engineering technician who is registered with the Engineering Council of South Africa (ECSA).</w:t>
            </w:r>
          </w:p>
        </w:tc>
      </w:tr>
      <w:tr w:rsidR="009045EB" w14:paraId="43FC400F" w14:textId="77777777">
        <w:tc>
          <w:tcPr>
            <w:tcW w:w="2518" w:type="dxa"/>
            <w:shd w:val="clear" w:color="auto" w:fill="E6EEF0"/>
          </w:tcPr>
          <w:p w14:paraId="43FC400C"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Reverse power flow </w:t>
            </w:r>
          </w:p>
          <w:p w14:paraId="43FC400D" w14:textId="77777777" w:rsidR="009045EB" w:rsidRDefault="009045EB">
            <w:pPr>
              <w:pBdr>
                <w:top w:val="nil"/>
                <w:left w:val="nil"/>
                <w:bottom w:val="nil"/>
                <w:right w:val="nil"/>
                <w:between w:val="nil"/>
              </w:pBdr>
              <w:spacing w:before="0" w:after="0" w:line="276" w:lineRule="auto"/>
              <w:rPr>
                <w:rFonts w:eastAsia="Arial" w:cs="Arial"/>
                <w:b/>
                <w:sz w:val="20"/>
                <w:szCs w:val="20"/>
              </w:rPr>
            </w:pPr>
          </w:p>
        </w:tc>
        <w:tc>
          <w:tcPr>
            <w:tcW w:w="6379" w:type="dxa"/>
            <w:shd w:val="clear" w:color="auto" w:fill="E6EEF0"/>
          </w:tcPr>
          <w:p w14:paraId="43FC400E"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The flow of energy from the customer electricity installation onto the municipal electrical network (i.e. export) as a result of the instantaneous generation exceeding the instantaneous consumption at the generation site in question. </w:t>
            </w:r>
          </w:p>
        </w:tc>
      </w:tr>
      <w:tr w:rsidR="009045EB" w14:paraId="43FC4012" w14:textId="77777777">
        <w:tc>
          <w:tcPr>
            <w:tcW w:w="2518" w:type="dxa"/>
            <w:shd w:val="clear" w:color="auto" w:fill="auto"/>
          </w:tcPr>
          <w:p w14:paraId="43FC4010"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SSEG Connection Contract</w:t>
            </w:r>
          </w:p>
        </w:tc>
        <w:tc>
          <w:tcPr>
            <w:tcW w:w="6379" w:type="dxa"/>
            <w:shd w:val="clear" w:color="auto" w:fill="auto"/>
          </w:tcPr>
          <w:p w14:paraId="43FC4011"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The terms and conditions governing the connection of the SSEG installation to the municipal electrical network accepted by the customer</w:t>
            </w:r>
          </w:p>
        </w:tc>
      </w:tr>
      <w:tr w:rsidR="009045EB" w14:paraId="43FC4015" w14:textId="77777777">
        <w:tc>
          <w:tcPr>
            <w:tcW w:w="2518" w:type="dxa"/>
            <w:shd w:val="clear" w:color="auto" w:fill="E6EEF0"/>
          </w:tcPr>
          <w:p w14:paraId="43FC4013"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Small Scale embedded generator or SSEG</w:t>
            </w:r>
          </w:p>
        </w:tc>
        <w:tc>
          <w:tcPr>
            <w:tcW w:w="6379" w:type="dxa"/>
            <w:shd w:val="clear" w:color="auto" w:fill="E6EEF0"/>
          </w:tcPr>
          <w:p w14:paraId="43FC4014"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A small-scale embedded generator for the purposes of these guidelines is an embedded generator with a generation capacity of less than or equal to 1000 kVA (1MVA). </w:t>
            </w:r>
          </w:p>
        </w:tc>
      </w:tr>
      <w:tr w:rsidR="009045EB" w14:paraId="43FC4018" w14:textId="77777777">
        <w:tc>
          <w:tcPr>
            <w:tcW w:w="2518" w:type="dxa"/>
            <w:shd w:val="clear" w:color="auto" w:fill="auto"/>
          </w:tcPr>
          <w:p w14:paraId="43FC4016" w14:textId="77777777" w:rsidR="009045EB" w:rsidRDefault="0072593A">
            <w:pPr>
              <w:pBdr>
                <w:top w:val="nil"/>
                <w:left w:val="nil"/>
                <w:bottom w:val="nil"/>
                <w:right w:val="nil"/>
                <w:between w:val="nil"/>
              </w:pBdr>
              <w:spacing w:before="0" w:after="0" w:line="276" w:lineRule="auto"/>
              <w:rPr>
                <w:rFonts w:eastAsia="Arial" w:cs="Arial"/>
                <w:b/>
                <w:sz w:val="20"/>
                <w:szCs w:val="20"/>
              </w:rPr>
            </w:pPr>
            <w:r>
              <w:rPr>
                <w:rFonts w:eastAsia="Arial" w:cs="Arial"/>
                <w:b/>
                <w:sz w:val="20"/>
                <w:szCs w:val="20"/>
              </w:rPr>
              <w:t xml:space="preserve">Stand-alone generator/ off-grid generator  </w:t>
            </w:r>
          </w:p>
        </w:tc>
        <w:tc>
          <w:tcPr>
            <w:tcW w:w="6379" w:type="dxa"/>
            <w:shd w:val="clear" w:color="auto" w:fill="auto"/>
          </w:tcPr>
          <w:p w14:paraId="43FC4017"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sz w:val="20"/>
                <w:szCs w:val="20"/>
              </w:rPr>
              <w:t xml:space="preserve">A generator that is not in any way connected to the municipal electrical network. Export of energy onto the municipal electrical network by the generator is therefore not possible. </w:t>
            </w:r>
          </w:p>
        </w:tc>
      </w:tr>
    </w:tbl>
    <w:p w14:paraId="43FC4019" w14:textId="77777777" w:rsidR="009045EB" w:rsidRDefault="0072593A" w:rsidP="00C54B8C">
      <w:pPr>
        <w:pStyle w:val="BodyText"/>
        <w:rPr>
          <w:rFonts w:ascii="Arial" w:eastAsia="Arial" w:hAnsi="Arial" w:cs="Arial"/>
        </w:rPr>
      </w:pPr>
      <w:r>
        <w:rPr>
          <w:noProof/>
          <w:lang w:val="en-GB"/>
        </w:rPr>
        <w:drawing>
          <wp:anchor distT="0" distB="0" distL="0" distR="0" simplePos="0" relativeHeight="251655168" behindDoc="1" locked="0" layoutInCell="1" hidden="0" allowOverlap="1" wp14:anchorId="43FC42CF" wp14:editId="43FC42D0">
            <wp:simplePos x="0" y="0"/>
            <wp:positionH relativeFrom="column">
              <wp:posOffset>317500</wp:posOffset>
            </wp:positionH>
            <wp:positionV relativeFrom="paragraph">
              <wp:posOffset>445769</wp:posOffset>
            </wp:positionV>
            <wp:extent cx="4851400" cy="3629025"/>
            <wp:effectExtent l="190500" t="190500" r="190500" b="190500"/>
            <wp:wrapNone/>
            <wp:docPr id="10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4851400" cy="3629025"/>
                    </a:xfrm>
                    <a:prstGeom prst="rect">
                      <a:avLst/>
                    </a:prstGeom>
                    <a:ln w="190500">
                      <a:solidFill>
                        <a:srgbClr val="FFFFFF"/>
                      </a:solidFill>
                      <a:prstDash val="solid"/>
                    </a:ln>
                  </pic:spPr>
                </pic:pic>
              </a:graphicData>
            </a:graphic>
          </wp:anchor>
        </w:drawing>
      </w:r>
      <w:r>
        <w:rPr>
          <w:noProof/>
          <w:lang w:val="en-GB"/>
        </w:rPr>
        <w:drawing>
          <wp:anchor distT="0" distB="0" distL="0" distR="0" simplePos="0" relativeHeight="251656192" behindDoc="1" locked="0" layoutInCell="1" hidden="0" allowOverlap="1" wp14:anchorId="43FC42D1" wp14:editId="43FC42D2">
            <wp:simplePos x="0" y="0"/>
            <wp:positionH relativeFrom="column">
              <wp:posOffset>-347979</wp:posOffset>
            </wp:positionH>
            <wp:positionV relativeFrom="paragraph">
              <wp:posOffset>245745</wp:posOffset>
            </wp:positionV>
            <wp:extent cx="1261745" cy="1768475"/>
            <wp:effectExtent l="0" t="0" r="0" b="0"/>
            <wp:wrapNone/>
            <wp:docPr id="10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10800000">
                      <a:off x="0" y="0"/>
                      <a:ext cx="1261745" cy="1768475"/>
                    </a:xfrm>
                    <a:prstGeom prst="rect">
                      <a:avLst/>
                    </a:prstGeom>
                    <a:ln/>
                  </pic:spPr>
                </pic:pic>
              </a:graphicData>
            </a:graphic>
          </wp:anchor>
        </w:drawing>
      </w:r>
    </w:p>
    <w:p w14:paraId="3FD71ABA" w14:textId="77777777" w:rsidR="001E2FF2" w:rsidRDefault="001E2FF2">
      <w:r>
        <w:br w:type="page"/>
      </w:r>
    </w:p>
    <w:p w14:paraId="67150CC7" w14:textId="77777777" w:rsidR="003E5CFE" w:rsidRPr="003E5CFE" w:rsidRDefault="003E5CFE" w:rsidP="003E5CFE">
      <w:pPr>
        <w:pStyle w:val="Heading1"/>
        <w:numPr>
          <w:ilvl w:val="0"/>
          <w:numId w:val="4"/>
        </w:numPr>
        <w:rPr>
          <w:rFonts w:ascii="Arial" w:eastAsia="Arial" w:hAnsi="Arial" w:cs="Arial"/>
        </w:rPr>
      </w:pPr>
      <w:bookmarkStart w:id="3" w:name="_Toc128033202"/>
      <w:r w:rsidRPr="003E5CFE">
        <w:rPr>
          <w:rFonts w:ascii="Arial" w:eastAsia="Arial" w:hAnsi="Arial" w:cs="Arial"/>
        </w:rPr>
        <w:lastRenderedPageBreak/>
        <w:t>Types of systems</w:t>
      </w:r>
      <w:bookmarkEnd w:id="3"/>
    </w:p>
    <w:tbl>
      <w:tblPr>
        <w:tblStyle w:val="TableGrid"/>
        <w:tblW w:w="0" w:type="auto"/>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Look w:val="04A0" w:firstRow="1" w:lastRow="0" w:firstColumn="1" w:lastColumn="0" w:noHBand="0" w:noVBand="1"/>
      </w:tblPr>
      <w:tblGrid>
        <w:gridCol w:w="6091"/>
        <w:gridCol w:w="2925"/>
      </w:tblGrid>
      <w:tr w:rsidR="00407161" w:rsidRPr="002D26AC" w14:paraId="32D5B120" w14:textId="77777777" w:rsidTr="00BB6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74B5E4" w:themeFill="accent6" w:themeFillTint="99"/>
          </w:tcPr>
          <w:p w14:paraId="7EBD16D6" w14:textId="3EDFDD28" w:rsidR="00407161" w:rsidRPr="00601552" w:rsidRDefault="00EB7C5E" w:rsidP="00C86853">
            <w:pPr>
              <w:rPr>
                <w:rStyle w:val="eop"/>
                <w:rFonts w:ascii="Arial" w:hAnsi="Arial" w:cs="Arial"/>
                <w:sz w:val="20"/>
                <w:szCs w:val="20"/>
              </w:rPr>
            </w:pPr>
            <w:r w:rsidRPr="00601552">
              <w:rPr>
                <w:rStyle w:val="eop"/>
                <w:rFonts w:ascii="Arial" w:hAnsi="Arial" w:cs="Arial"/>
                <w:sz w:val="22"/>
                <w:szCs w:val="22"/>
              </w:rPr>
              <w:t xml:space="preserve">DESCRIPTIONS OF </w:t>
            </w:r>
            <w:r w:rsidR="00ED294C">
              <w:rPr>
                <w:rStyle w:val="eop"/>
                <w:rFonts w:ascii="Arial" w:hAnsi="Arial" w:cs="Arial"/>
                <w:sz w:val="22"/>
                <w:szCs w:val="22"/>
              </w:rPr>
              <w:t>S</w:t>
            </w:r>
            <w:r w:rsidR="00ED294C">
              <w:rPr>
                <w:rStyle w:val="eop"/>
                <w:sz w:val="22"/>
                <w:szCs w:val="22"/>
              </w:rPr>
              <w:t xml:space="preserve">YSTEM </w:t>
            </w:r>
            <w:r w:rsidRPr="00601552">
              <w:rPr>
                <w:rStyle w:val="eop"/>
                <w:rFonts w:ascii="Arial" w:hAnsi="Arial" w:cs="Arial"/>
                <w:sz w:val="22"/>
                <w:szCs w:val="22"/>
              </w:rPr>
              <w:t>TYPES</w:t>
            </w:r>
          </w:p>
        </w:tc>
        <w:tc>
          <w:tcPr>
            <w:tcW w:w="2925" w:type="dxa"/>
            <w:shd w:val="clear" w:color="auto" w:fill="74B5E4" w:themeFill="accent6" w:themeFillTint="99"/>
          </w:tcPr>
          <w:p w14:paraId="37221D95" w14:textId="2E2724FB" w:rsidR="00407161" w:rsidRPr="002D26AC" w:rsidRDefault="00EB7C5E" w:rsidP="00C86853">
            <w:pPr>
              <w:cnfStyle w:val="100000000000" w:firstRow="1" w:lastRow="0" w:firstColumn="0" w:lastColumn="0" w:oddVBand="0" w:evenVBand="0" w:oddHBand="0" w:evenHBand="0" w:firstRowFirstColumn="0" w:firstRowLastColumn="0" w:lastRowFirstColumn="0" w:lastRowLastColumn="0"/>
              <w:rPr>
                <w:rStyle w:val="eop"/>
                <w:rFonts w:ascii="Arial" w:hAnsi="Arial" w:cs="Arial"/>
                <w:b w:val="0"/>
                <w:bCs/>
                <w:sz w:val="20"/>
                <w:szCs w:val="20"/>
              </w:rPr>
            </w:pPr>
            <w:r>
              <w:rPr>
                <w:rStyle w:val="eop"/>
                <w:rFonts w:ascii="Arial" w:hAnsi="Arial" w:cs="Arial"/>
                <w:b w:val="0"/>
                <w:bCs/>
                <w:sz w:val="20"/>
                <w:szCs w:val="20"/>
              </w:rPr>
              <w:t>Do they need to c</w:t>
            </w:r>
            <w:r w:rsidR="00407161" w:rsidRPr="002D26AC">
              <w:rPr>
                <w:rStyle w:val="eop"/>
                <w:rFonts w:ascii="Arial" w:hAnsi="Arial" w:cs="Arial"/>
                <w:b w:val="0"/>
                <w:bCs/>
                <w:sz w:val="20"/>
                <w:szCs w:val="20"/>
              </w:rPr>
              <w:t xml:space="preserve">omply with </w:t>
            </w:r>
            <w:r>
              <w:rPr>
                <w:rStyle w:val="eop"/>
                <w:rFonts w:ascii="Arial" w:hAnsi="Arial" w:cs="Arial"/>
                <w:b w:val="0"/>
                <w:bCs/>
                <w:sz w:val="20"/>
                <w:szCs w:val="20"/>
              </w:rPr>
              <w:t xml:space="preserve">Municipal </w:t>
            </w:r>
            <w:r w:rsidR="00407161" w:rsidRPr="002D26AC">
              <w:rPr>
                <w:rStyle w:val="eop"/>
                <w:rFonts w:ascii="Arial" w:hAnsi="Arial" w:cs="Arial"/>
                <w:b w:val="0"/>
                <w:bCs/>
                <w:sz w:val="20"/>
                <w:szCs w:val="20"/>
              </w:rPr>
              <w:t>Requirements</w:t>
            </w:r>
            <w:r>
              <w:rPr>
                <w:rStyle w:val="eop"/>
                <w:rFonts w:ascii="Arial" w:hAnsi="Arial" w:cs="Arial"/>
                <w:b w:val="0"/>
                <w:bCs/>
                <w:sz w:val="20"/>
                <w:szCs w:val="20"/>
              </w:rPr>
              <w:t xml:space="preserve"> doc</w:t>
            </w:r>
            <w:r w:rsidR="00407161" w:rsidRPr="002D26AC">
              <w:rPr>
                <w:rStyle w:val="eop"/>
                <w:rFonts w:ascii="Arial" w:hAnsi="Arial" w:cs="Arial"/>
                <w:b w:val="0"/>
                <w:bCs/>
                <w:sz w:val="20"/>
                <w:szCs w:val="20"/>
              </w:rPr>
              <w:t>?</w:t>
            </w:r>
          </w:p>
        </w:tc>
      </w:tr>
      <w:tr w:rsidR="00407161" w:rsidRPr="002D26AC" w14:paraId="4E2807BF" w14:textId="77777777" w:rsidTr="00BB63A6">
        <w:tc>
          <w:tcPr>
            <w:cnfStyle w:val="001000000000" w:firstRow="0" w:lastRow="0" w:firstColumn="1" w:lastColumn="0" w:oddVBand="0" w:evenVBand="0" w:oddHBand="0" w:evenHBand="0" w:firstRowFirstColumn="0" w:firstRowLastColumn="0" w:lastRowFirstColumn="0" w:lastRowLastColumn="0"/>
            <w:tcW w:w="6091" w:type="dxa"/>
          </w:tcPr>
          <w:p w14:paraId="4AF8E3DA" w14:textId="77777777" w:rsidR="00407161" w:rsidRPr="00CA6027" w:rsidRDefault="00407161" w:rsidP="00C86853">
            <w:pPr>
              <w:pStyle w:val="paragraph"/>
              <w:spacing w:before="0" w:beforeAutospacing="0" w:after="0" w:afterAutospacing="0"/>
              <w:jc w:val="both"/>
              <w:textAlignment w:val="baseline"/>
              <w:rPr>
                <w:rFonts w:asciiTheme="minorHAnsi" w:eastAsia="Arial" w:hAnsiTheme="minorHAnsi" w:cstheme="minorHAnsi"/>
                <w:b/>
                <w:bCs/>
                <w:color w:val="000000"/>
                <w:sz w:val="18"/>
                <w:szCs w:val="18"/>
                <w:lang w:val="en-GB" w:eastAsia="en-GB"/>
              </w:rPr>
            </w:pPr>
            <w:r w:rsidRPr="00CA6027">
              <w:rPr>
                <w:rFonts w:asciiTheme="minorHAnsi" w:eastAsia="Arial" w:hAnsiTheme="minorHAnsi" w:cstheme="minorHAnsi"/>
                <w:b/>
                <w:bCs/>
                <w:color w:val="000000"/>
                <w:sz w:val="18"/>
                <w:szCs w:val="18"/>
                <w:lang w:eastAsia="en-GB"/>
              </w:rPr>
              <w:t>Grid Tied Solar PV Systems</w:t>
            </w:r>
            <w:r w:rsidRPr="00CA6027">
              <w:rPr>
                <w:rFonts w:asciiTheme="minorHAnsi" w:eastAsia="Arial" w:hAnsiTheme="minorHAnsi" w:cstheme="minorHAnsi"/>
                <w:b/>
                <w:bCs/>
                <w:color w:val="000000"/>
                <w:sz w:val="18"/>
                <w:szCs w:val="18"/>
                <w:lang w:val="en-GB" w:eastAsia="en-GB"/>
              </w:rPr>
              <w:t> </w:t>
            </w:r>
          </w:p>
          <w:p w14:paraId="0961DC70" w14:textId="7E084FB7" w:rsidR="00407161" w:rsidRPr="00CA6027" w:rsidRDefault="00407161" w:rsidP="00601552">
            <w:pPr>
              <w:pStyle w:val="paragraph"/>
              <w:spacing w:before="0" w:beforeAutospacing="0" w:after="0" w:afterAutospacing="0"/>
              <w:jc w:val="both"/>
              <w:textAlignment w:val="baseline"/>
              <w:rPr>
                <w:rFonts w:asciiTheme="minorHAnsi" w:eastAsia="Arial" w:hAnsiTheme="minorHAnsi" w:cstheme="minorHAnsi"/>
                <w:color w:val="000000"/>
                <w:sz w:val="18"/>
                <w:szCs w:val="18"/>
                <w:lang w:eastAsia="en-GB"/>
              </w:rPr>
            </w:pPr>
            <w:r w:rsidRPr="00CA6027">
              <w:rPr>
                <w:rFonts w:asciiTheme="minorHAnsi" w:eastAsia="Arial" w:hAnsiTheme="minorHAnsi" w:cstheme="minorHAnsi"/>
                <w:color w:val="000000"/>
                <w:sz w:val="18"/>
                <w:szCs w:val="18"/>
                <w:lang w:eastAsia="en-GB"/>
              </w:rPr>
              <w:t xml:space="preserve">Solar PV systems that connect to and run in parallel with the grid and don’t include any form of energy storage. These systems need the grid supply to synchronize and supply power simultaneously with the utility network. When installed on the customer side of the utility meter, they are mainly installed for self-consumption to reduce the customers’ electricity bill.  They cannot supply back-up power during a power failure.  </w:t>
            </w:r>
          </w:p>
          <w:p w14:paraId="38731EA1" w14:textId="7AD2F083" w:rsidR="003E2952" w:rsidRPr="00CA6027" w:rsidRDefault="003E2952" w:rsidP="00601552">
            <w:pPr>
              <w:pStyle w:val="paragraph"/>
              <w:spacing w:before="0" w:beforeAutospacing="0" w:after="0" w:afterAutospacing="0"/>
              <w:jc w:val="both"/>
              <w:textAlignment w:val="baseline"/>
              <w:rPr>
                <w:rFonts w:asciiTheme="minorHAnsi" w:eastAsia="Arial" w:hAnsiTheme="minorHAnsi" w:cstheme="minorHAnsi"/>
                <w:color w:val="000000"/>
                <w:sz w:val="18"/>
                <w:szCs w:val="18"/>
                <w:lang w:val="en-GB" w:eastAsia="en-GB"/>
              </w:rPr>
            </w:pPr>
          </w:p>
        </w:tc>
        <w:tc>
          <w:tcPr>
            <w:tcW w:w="2925" w:type="dxa"/>
          </w:tcPr>
          <w:p w14:paraId="336AD863" w14:textId="69BBC010" w:rsidR="00407161" w:rsidRPr="00CA6027" w:rsidRDefault="00407161" w:rsidP="00C86853">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sz w:val="18"/>
                <w:szCs w:val="18"/>
                <w:lang w:eastAsia="en-GB"/>
              </w:rPr>
            </w:pPr>
          </w:p>
          <w:p w14:paraId="24FC15E6" w14:textId="1A45C181" w:rsidR="00407161" w:rsidRPr="00CA6027" w:rsidRDefault="00407161" w:rsidP="00C86853">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sz w:val="18"/>
                <w:szCs w:val="18"/>
                <w:lang w:val="en-GB" w:eastAsia="en-GB"/>
              </w:rPr>
            </w:pPr>
            <w:r w:rsidRPr="00CA6027">
              <w:rPr>
                <w:rFonts w:asciiTheme="minorHAnsi" w:eastAsia="Arial" w:hAnsiTheme="minorHAnsi" w:cstheme="minorHAnsi"/>
                <w:color w:val="000000"/>
                <w:sz w:val="18"/>
                <w:szCs w:val="18"/>
                <w:lang w:eastAsia="en-GB"/>
              </w:rPr>
              <w:t xml:space="preserve">These systems </w:t>
            </w:r>
            <w:r w:rsidRPr="00CA6027">
              <w:rPr>
                <w:rFonts w:asciiTheme="minorHAnsi" w:eastAsia="Arial" w:hAnsiTheme="minorHAnsi" w:cstheme="minorHAnsi"/>
                <w:b/>
                <w:bCs/>
                <w:color w:val="000000"/>
                <w:sz w:val="18"/>
                <w:szCs w:val="18"/>
                <w:lang w:eastAsia="en-GB"/>
              </w:rPr>
              <w:t>must comply</w:t>
            </w:r>
            <w:r w:rsidRPr="00CA6027">
              <w:rPr>
                <w:rFonts w:asciiTheme="minorHAnsi" w:eastAsia="Arial" w:hAnsiTheme="minorHAnsi" w:cstheme="minorHAnsi"/>
                <w:color w:val="000000"/>
                <w:sz w:val="18"/>
                <w:szCs w:val="18"/>
                <w:lang w:eastAsia="en-GB"/>
              </w:rPr>
              <w:t xml:space="preserve"> with all Municipal embedded generation requirements.</w:t>
            </w:r>
            <w:r w:rsidRPr="00CA6027">
              <w:rPr>
                <w:rFonts w:asciiTheme="minorHAnsi" w:eastAsia="Arial" w:hAnsiTheme="minorHAnsi" w:cstheme="minorHAnsi"/>
                <w:color w:val="000000"/>
                <w:sz w:val="18"/>
                <w:szCs w:val="18"/>
                <w:lang w:val="en-GB" w:eastAsia="en-GB"/>
              </w:rPr>
              <w:t> </w:t>
            </w:r>
          </w:p>
          <w:p w14:paraId="75E0DA6A" w14:textId="77777777" w:rsidR="00407161" w:rsidRPr="00CA6027" w:rsidRDefault="00407161" w:rsidP="00C86853">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sz w:val="18"/>
                <w:szCs w:val="18"/>
              </w:rPr>
            </w:pPr>
          </w:p>
        </w:tc>
      </w:tr>
      <w:tr w:rsidR="00407161" w:rsidRPr="002D26AC" w14:paraId="6C715DAF" w14:textId="77777777" w:rsidTr="00BB6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E3F1ED" w:themeFill="accent3" w:themeFillTint="33"/>
          </w:tcPr>
          <w:p w14:paraId="70BE124F" w14:textId="77777777" w:rsidR="00407161" w:rsidRPr="00CA6027" w:rsidRDefault="00407161" w:rsidP="00C86853">
            <w:pPr>
              <w:pStyle w:val="paragraph"/>
              <w:spacing w:before="0" w:beforeAutospacing="0" w:after="0" w:afterAutospacing="0"/>
              <w:jc w:val="both"/>
              <w:textAlignment w:val="baseline"/>
              <w:rPr>
                <w:rFonts w:asciiTheme="minorHAnsi" w:eastAsia="Arial" w:hAnsiTheme="minorHAnsi" w:cstheme="minorHAnsi"/>
                <w:b/>
                <w:bCs/>
                <w:color w:val="000000"/>
                <w:sz w:val="18"/>
                <w:szCs w:val="18"/>
                <w:lang w:val="en-GB" w:eastAsia="en-GB"/>
              </w:rPr>
            </w:pPr>
            <w:r w:rsidRPr="00CA6027">
              <w:rPr>
                <w:rFonts w:asciiTheme="minorHAnsi" w:eastAsia="Arial" w:hAnsiTheme="minorHAnsi" w:cstheme="minorHAnsi"/>
                <w:b/>
                <w:bCs/>
                <w:color w:val="000000"/>
                <w:sz w:val="18"/>
                <w:szCs w:val="18"/>
                <w:lang w:eastAsia="en-GB"/>
              </w:rPr>
              <w:t>Off Grid or Stand-Alone solar PV systems</w:t>
            </w:r>
            <w:r w:rsidRPr="00CA6027">
              <w:rPr>
                <w:rFonts w:asciiTheme="minorHAnsi" w:eastAsia="Arial" w:hAnsiTheme="minorHAnsi" w:cstheme="minorHAnsi"/>
                <w:b/>
                <w:bCs/>
                <w:color w:val="000000"/>
                <w:sz w:val="18"/>
                <w:szCs w:val="18"/>
                <w:lang w:val="en-GB" w:eastAsia="en-GB"/>
              </w:rPr>
              <w:t> </w:t>
            </w:r>
          </w:p>
          <w:p w14:paraId="46D15E6E" w14:textId="77777777" w:rsidR="00407161" w:rsidRPr="00CA6027" w:rsidRDefault="00407161" w:rsidP="00C86853">
            <w:pPr>
              <w:pStyle w:val="paragraph"/>
              <w:spacing w:before="0" w:beforeAutospacing="0" w:after="0" w:afterAutospacing="0"/>
              <w:jc w:val="both"/>
              <w:textAlignment w:val="baseline"/>
              <w:rPr>
                <w:rFonts w:asciiTheme="minorHAnsi" w:eastAsia="Arial" w:hAnsiTheme="minorHAnsi" w:cstheme="minorHAnsi"/>
                <w:color w:val="000000"/>
                <w:sz w:val="18"/>
                <w:szCs w:val="18"/>
                <w:lang w:eastAsia="en-GB"/>
              </w:rPr>
            </w:pPr>
            <w:r w:rsidRPr="00CA6027">
              <w:rPr>
                <w:rFonts w:asciiTheme="minorHAnsi" w:eastAsia="Arial" w:hAnsiTheme="minorHAnsi" w:cstheme="minorHAnsi"/>
                <w:color w:val="000000"/>
                <w:sz w:val="18"/>
                <w:szCs w:val="18"/>
                <w:lang w:eastAsia="en-GB"/>
              </w:rPr>
              <w:t xml:space="preserve">Off grid solar PV systems, are systems that supply power from both solar and/or batteries through an off-grid inverter that has no electrical connection to the utility grid. These systems can be supported with a back-up generator to charge batteries and/or supply loads when there is insufficient solar PV and/or battery energy available.  </w:t>
            </w:r>
          </w:p>
          <w:p w14:paraId="1FFE135F" w14:textId="77777777" w:rsidR="00407161" w:rsidRPr="00CA6027" w:rsidRDefault="00407161" w:rsidP="00601552">
            <w:pPr>
              <w:pStyle w:val="paragraph"/>
              <w:spacing w:before="0" w:beforeAutospacing="0" w:after="0" w:afterAutospacing="0"/>
              <w:jc w:val="both"/>
              <w:textAlignment w:val="baseline"/>
              <w:rPr>
                <w:rFonts w:asciiTheme="minorHAnsi" w:eastAsia="Arial" w:hAnsiTheme="minorHAnsi" w:cstheme="minorHAnsi"/>
                <w:color w:val="000000"/>
                <w:sz w:val="18"/>
                <w:szCs w:val="18"/>
                <w:lang w:val="en-GB" w:eastAsia="en-GB"/>
              </w:rPr>
            </w:pPr>
            <w:r w:rsidRPr="00CA6027">
              <w:rPr>
                <w:rFonts w:asciiTheme="minorHAnsi" w:eastAsia="Arial" w:hAnsiTheme="minorHAnsi" w:cstheme="minorHAnsi"/>
                <w:color w:val="000000"/>
                <w:sz w:val="18"/>
                <w:szCs w:val="18"/>
                <w:lang w:eastAsia="en-GB"/>
              </w:rPr>
              <w:t>NOTE: Inverters labelled as Off Grid inverters shall not be used for grid connected solar PV systems.</w:t>
            </w:r>
            <w:r w:rsidRPr="00CA6027">
              <w:rPr>
                <w:rFonts w:asciiTheme="minorHAnsi" w:eastAsia="Arial" w:hAnsiTheme="minorHAnsi" w:cstheme="minorHAnsi"/>
                <w:color w:val="000000"/>
                <w:sz w:val="18"/>
                <w:szCs w:val="18"/>
                <w:lang w:val="en-GB" w:eastAsia="en-GB"/>
              </w:rPr>
              <w:t> </w:t>
            </w:r>
          </w:p>
          <w:p w14:paraId="1D0F4699" w14:textId="7C45E20D" w:rsidR="007B1DF5" w:rsidRPr="00CA6027" w:rsidRDefault="007B1DF5" w:rsidP="00601552">
            <w:pPr>
              <w:pStyle w:val="paragraph"/>
              <w:spacing w:before="0" w:beforeAutospacing="0" w:after="0" w:afterAutospacing="0"/>
              <w:jc w:val="both"/>
              <w:textAlignment w:val="baseline"/>
              <w:rPr>
                <w:rFonts w:asciiTheme="minorHAnsi" w:eastAsia="Arial" w:hAnsiTheme="minorHAnsi" w:cstheme="minorHAnsi"/>
                <w:color w:val="000000"/>
                <w:sz w:val="18"/>
                <w:szCs w:val="18"/>
                <w:lang w:val="en-GB" w:eastAsia="en-GB"/>
              </w:rPr>
            </w:pPr>
          </w:p>
        </w:tc>
        <w:tc>
          <w:tcPr>
            <w:tcW w:w="2925" w:type="dxa"/>
            <w:shd w:val="clear" w:color="auto" w:fill="E3F1ED" w:themeFill="accent3" w:themeFillTint="33"/>
          </w:tcPr>
          <w:p w14:paraId="6E141533" w14:textId="77777777" w:rsidR="00407161" w:rsidRPr="00CA6027" w:rsidRDefault="00407161" w:rsidP="00C86853">
            <w:pPr>
              <w:pStyle w:val="paragraph"/>
              <w:spacing w:before="0" w:beforeAutospacing="0" w:after="0" w:afterAutospacing="0"/>
              <w:jc w:val="both"/>
              <w:textAlignment w:val="baseline"/>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sz w:val="18"/>
                <w:szCs w:val="18"/>
                <w:lang w:val="en-GB" w:eastAsia="en-GB"/>
              </w:rPr>
            </w:pPr>
            <w:r w:rsidRPr="00CA6027">
              <w:rPr>
                <w:rFonts w:asciiTheme="minorHAnsi" w:eastAsia="Arial" w:hAnsiTheme="minorHAnsi" w:cstheme="minorHAnsi"/>
                <w:color w:val="000000"/>
                <w:sz w:val="18"/>
                <w:szCs w:val="18"/>
                <w:lang w:eastAsia="en-GB"/>
              </w:rPr>
              <w:t xml:space="preserve">Because these systems cannot generate in parallel with the grid, they </w:t>
            </w:r>
            <w:r w:rsidRPr="00CA6027">
              <w:rPr>
                <w:rFonts w:asciiTheme="minorHAnsi" w:eastAsia="Arial" w:hAnsiTheme="minorHAnsi" w:cstheme="minorHAnsi"/>
                <w:b/>
                <w:bCs/>
                <w:color w:val="000000"/>
                <w:sz w:val="18"/>
                <w:szCs w:val="18"/>
                <w:lang w:eastAsia="en-GB"/>
              </w:rPr>
              <w:t>do not need to comply</w:t>
            </w:r>
            <w:r w:rsidRPr="00CA6027">
              <w:rPr>
                <w:rFonts w:asciiTheme="minorHAnsi" w:eastAsia="Arial" w:hAnsiTheme="minorHAnsi" w:cstheme="minorHAnsi"/>
                <w:color w:val="000000"/>
                <w:sz w:val="18"/>
                <w:szCs w:val="18"/>
                <w:lang w:eastAsia="en-GB"/>
              </w:rPr>
              <w:t xml:space="preserve"> with Municipal embedded generation requirements.</w:t>
            </w:r>
            <w:r w:rsidRPr="00CA6027">
              <w:rPr>
                <w:rFonts w:asciiTheme="minorHAnsi" w:eastAsia="Arial" w:hAnsiTheme="minorHAnsi" w:cstheme="minorHAnsi"/>
                <w:color w:val="000000"/>
                <w:sz w:val="18"/>
                <w:szCs w:val="18"/>
                <w:lang w:val="en-GB" w:eastAsia="en-GB"/>
              </w:rPr>
              <w:t> </w:t>
            </w:r>
          </w:p>
          <w:p w14:paraId="137E3985" w14:textId="77777777" w:rsidR="00407161" w:rsidRPr="00CA6027" w:rsidRDefault="00407161" w:rsidP="00C86853">
            <w:pPr>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sz w:val="18"/>
                <w:szCs w:val="18"/>
              </w:rPr>
            </w:pPr>
          </w:p>
        </w:tc>
      </w:tr>
      <w:tr w:rsidR="00407161" w:rsidRPr="002D26AC" w14:paraId="1408E512" w14:textId="77777777" w:rsidTr="00BB63A6">
        <w:tc>
          <w:tcPr>
            <w:cnfStyle w:val="001000000000" w:firstRow="0" w:lastRow="0" w:firstColumn="1" w:lastColumn="0" w:oddVBand="0" w:evenVBand="0" w:oddHBand="0" w:evenHBand="0" w:firstRowFirstColumn="0" w:firstRowLastColumn="0" w:lastRowFirstColumn="0" w:lastRowLastColumn="0"/>
            <w:tcW w:w="6091" w:type="dxa"/>
          </w:tcPr>
          <w:p w14:paraId="5423EF85" w14:textId="77777777" w:rsidR="00407161" w:rsidRPr="00CA6027" w:rsidRDefault="00407161" w:rsidP="00C86853">
            <w:pPr>
              <w:pStyle w:val="paragraph"/>
              <w:spacing w:before="0" w:beforeAutospacing="0" w:after="0" w:afterAutospacing="0"/>
              <w:jc w:val="both"/>
              <w:textAlignment w:val="baseline"/>
              <w:rPr>
                <w:rFonts w:asciiTheme="minorHAnsi" w:eastAsia="Arial" w:hAnsiTheme="minorHAnsi" w:cstheme="minorHAnsi"/>
                <w:b/>
                <w:bCs/>
                <w:color w:val="000000"/>
                <w:sz w:val="18"/>
                <w:szCs w:val="18"/>
                <w:lang w:val="en-GB" w:eastAsia="en-GB"/>
              </w:rPr>
            </w:pPr>
            <w:r w:rsidRPr="00CA6027">
              <w:rPr>
                <w:rFonts w:asciiTheme="minorHAnsi" w:eastAsia="Arial" w:hAnsiTheme="minorHAnsi" w:cstheme="minorHAnsi"/>
                <w:b/>
                <w:bCs/>
                <w:color w:val="000000"/>
                <w:sz w:val="18"/>
                <w:szCs w:val="18"/>
                <w:lang w:eastAsia="en-GB"/>
              </w:rPr>
              <w:t>Back-up or standby (UPS) systems</w:t>
            </w:r>
            <w:r w:rsidRPr="00CA6027">
              <w:rPr>
                <w:rFonts w:asciiTheme="minorHAnsi" w:eastAsia="Arial" w:hAnsiTheme="minorHAnsi" w:cstheme="minorHAnsi"/>
                <w:b/>
                <w:bCs/>
                <w:color w:val="000000"/>
                <w:sz w:val="18"/>
                <w:szCs w:val="18"/>
                <w:lang w:val="en-GB" w:eastAsia="en-GB"/>
              </w:rPr>
              <w:t> </w:t>
            </w:r>
          </w:p>
          <w:p w14:paraId="55551E6C" w14:textId="5AAA2DD8" w:rsidR="00407161" w:rsidRPr="00CA6027" w:rsidRDefault="00407161" w:rsidP="00601552">
            <w:pPr>
              <w:pStyle w:val="paragraph"/>
              <w:spacing w:before="0" w:beforeAutospacing="0" w:after="0" w:afterAutospacing="0"/>
              <w:jc w:val="both"/>
              <w:textAlignment w:val="baseline"/>
              <w:rPr>
                <w:rFonts w:asciiTheme="minorHAnsi" w:eastAsia="Arial" w:hAnsiTheme="minorHAnsi" w:cstheme="minorHAnsi"/>
                <w:color w:val="000000"/>
                <w:sz w:val="18"/>
                <w:szCs w:val="18"/>
                <w:lang w:eastAsia="en-GB"/>
              </w:rPr>
            </w:pPr>
            <w:r w:rsidRPr="00CA6027">
              <w:rPr>
                <w:rFonts w:asciiTheme="minorHAnsi" w:eastAsia="Arial" w:hAnsiTheme="minorHAnsi" w:cstheme="minorHAnsi"/>
                <w:color w:val="000000"/>
                <w:sz w:val="18"/>
                <w:szCs w:val="18"/>
                <w:lang w:eastAsia="en-GB"/>
              </w:rPr>
              <w:t xml:space="preserve">Back-up or standby uninterruptable </w:t>
            </w:r>
            <w:r w:rsidR="00FD0200">
              <w:rPr>
                <w:rFonts w:asciiTheme="minorHAnsi" w:eastAsia="Arial" w:hAnsiTheme="minorHAnsi" w:cstheme="minorHAnsi"/>
                <w:color w:val="000000"/>
                <w:sz w:val="18"/>
                <w:szCs w:val="18"/>
                <w:lang w:eastAsia="en-GB"/>
              </w:rPr>
              <w:t>power supply (UPS) systems stores</w:t>
            </w:r>
            <w:r w:rsidRPr="00CA6027">
              <w:rPr>
                <w:rFonts w:asciiTheme="minorHAnsi" w:eastAsia="Arial" w:hAnsiTheme="minorHAnsi" w:cstheme="minorHAnsi"/>
                <w:color w:val="000000"/>
                <w:sz w:val="18"/>
                <w:szCs w:val="18"/>
                <w:lang w:eastAsia="en-GB"/>
              </w:rPr>
              <w:t xml:space="preserve"> energy in batteries through a charger and then only supplies power to the loads from these charged batteries via an inverter during a power outage. Fuel generators can also be used as back-up or stand by power supply. These systems require a suitable change over switch to select power supply between the utility and the back-up power supply, as the two supplies shall never be supplied simultaneously. </w:t>
            </w:r>
          </w:p>
          <w:p w14:paraId="3CF617F6" w14:textId="7139E6B8" w:rsidR="007B1DF5" w:rsidRPr="00CA6027" w:rsidRDefault="007B1DF5" w:rsidP="00601552">
            <w:pPr>
              <w:pStyle w:val="paragraph"/>
              <w:spacing w:before="0" w:beforeAutospacing="0" w:after="0" w:afterAutospacing="0"/>
              <w:jc w:val="both"/>
              <w:textAlignment w:val="baseline"/>
              <w:rPr>
                <w:rFonts w:asciiTheme="minorHAnsi" w:eastAsia="Arial" w:hAnsiTheme="minorHAnsi" w:cstheme="minorHAnsi"/>
                <w:color w:val="000000"/>
                <w:sz w:val="18"/>
                <w:szCs w:val="18"/>
                <w:lang w:val="en-GB" w:eastAsia="en-GB"/>
              </w:rPr>
            </w:pPr>
          </w:p>
        </w:tc>
        <w:tc>
          <w:tcPr>
            <w:tcW w:w="2925" w:type="dxa"/>
          </w:tcPr>
          <w:p w14:paraId="48021129" w14:textId="77777777" w:rsidR="00407161" w:rsidRPr="00CA6027" w:rsidRDefault="00407161" w:rsidP="00C86853">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sz w:val="18"/>
                <w:szCs w:val="18"/>
                <w:lang w:eastAsia="en-GB"/>
              </w:rPr>
            </w:pPr>
          </w:p>
          <w:p w14:paraId="12591A34" w14:textId="77777777" w:rsidR="00407161" w:rsidRPr="00CA6027" w:rsidRDefault="00407161" w:rsidP="00C86853">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sz w:val="18"/>
                <w:szCs w:val="18"/>
                <w:lang w:val="en-GB" w:eastAsia="en-GB"/>
              </w:rPr>
            </w:pPr>
            <w:r w:rsidRPr="00CA6027">
              <w:rPr>
                <w:rFonts w:asciiTheme="minorHAnsi" w:eastAsia="Arial" w:hAnsiTheme="minorHAnsi" w:cstheme="minorHAnsi"/>
                <w:color w:val="000000"/>
                <w:sz w:val="18"/>
                <w:szCs w:val="18"/>
                <w:lang w:eastAsia="en-GB"/>
              </w:rPr>
              <w:t xml:space="preserve">Because these systems cannot generate in parallel with the grid, they </w:t>
            </w:r>
            <w:r w:rsidRPr="00CA6027">
              <w:rPr>
                <w:rFonts w:asciiTheme="minorHAnsi" w:eastAsia="Arial" w:hAnsiTheme="minorHAnsi" w:cstheme="minorHAnsi"/>
                <w:b/>
                <w:bCs/>
                <w:color w:val="000000"/>
                <w:sz w:val="18"/>
                <w:szCs w:val="18"/>
                <w:lang w:eastAsia="en-GB"/>
              </w:rPr>
              <w:t>do not need to comply</w:t>
            </w:r>
            <w:r w:rsidRPr="00CA6027">
              <w:rPr>
                <w:rFonts w:asciiTheme="minorHAnsi" w:eastAsia="Arial" w:hAnsiTheme="minorHAnsi" w:cstheme="minorHAnsi"/>
                <w:color w:val="000000"/>
                <w:sz w:val="18"/>
                <w:szCs w:val="18"/>
                <w:lang w:eastAsia="en-GB"/>
              </w:rPr>
              <w:t xml:space="preserve"> with Municipal embedded generation requirements.</w:t>
            </w:r>
            <w:r w:rsidRPr="00CA6027">
              <w:rPr>
                <w:rFonts w:asciiTheme="minorHAnsi" w:eastAsia="Arial" w:hAnsiTheme="minorHAnsi" w:cstheme="minorHAnsi"/>
                <w:color w:val="000000"/>
                <w:sz w:val="18"/>
                <w:szCs w:val="18"/>
                <w:lang w:val="en-GB" w:eastAsia="en-GB"/>
              </w:rPr>
              <w:t> </w:t>
            </w:r>
          </w:p>
          <w:p w14:paraId="7F4EFB3A" w14:textId="77777777" w:rsidR="00407161" w:rsidRPr="00CA6027" w:rsidRDefault="00407161" w:rsidP="00C86853">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sz w:val="18"/>
                <w:szCs w:val="18"/>
              </w:rPr>
            </w:pPr>
          </w:p>
        </w:tc>
      </w:tr>
      <w:tr w:rsidR="00407161" w:rsidRPr="002D26AC" w14:paraId="30DE1BF3" w14:textId="77777777" w:rsidTr="00BB6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E3F1ED" w:themeFill="accent3" w:themeFillTint="33"/>
          </w:tcPr>
          <w:p w14:paraId="3448A6E7" w14:textId="590CE8C3" w:rsidR="00407161" w:rsidRPr="00CA6027" w:rsidRDefault="00407161" w:rsidP="00C86853">
            <w:pPr>
              <w:pStyle w:val="paragraph"/>
              <w:spacing w:before="0" w:beforeAutospacing="0" w:after="0" w:afterAutospacing="0"/>
              <w:jc w:val="both"/>
              <w:textAlignment w:val="baseline"/>
              <w:rPr>
                <w:rFonts w:asciiTheme="minorHAnsi" w:eastAsia="Arial" w:hAnsiTheme="minorHAnsi" w:cstheme="minorHAnsi"/>
                <w:b/>
                <w:bCs/>
                <w:color w:val="000000"/>
                <w:sz w:val="18"/>
                <w:szCs w:val="18"/>
                <w:lang w:val="en-GB" w:eastAsia="en-GB"/>
              </w:rPr>
            </w:pPr>
            <w:r w:rsidRPr="00CA6027">
              <w:rPr>
                <w:rFonts w:asciiTheme="minorHAnsi" w:eastAsia="Arial" w:hAnsiTheme="minorHAnsi" w:cstheme="minorHAnsi"/>
                <w:b/>
                <w:bCs/>
                <w:color w:val="000000"/>
                <w:sz w:val="18"/>
                <w:szCs w:val="18"/>
                <w:lang w:eastAsia="en-GB"/>
              </w:rPr>
              <w:t xml:space="preserve">Hybrid Grid </w:t>
            </w:r>
            <w:r w:rsidR="00371F23">
              <w:rPr>
                <w:rFonts w:asciiTheme="minorHAnsi" w:eastAsia="Arial" w:hAnsiTheme="minorHAnsi" w:cstheme="minorHAnsi"/>
                <w:b/>
                <w:bCs/>
                <w:color w:val="000000"/>
                <w:sz w:val="18"/>
                <w:szCs w:val="18"/>
                <w:lang w:eastAsia="en-GB"/>
              </w:rPr>
              <w:t>T</w:t>
            </w:r>
            <w:r w:rsidR="00371F23" w:rsidRPr="00371F23">
              <w:rPr>
                <w:rFonts w:asciiTheme="minorHAnsi" w:eastAsia="Arial" w:hAnsiTheme="minorHAnsi" w:cstheme="minorHAnsi"/>
                <w:b/>
                <w:bCs/>
                <w:color w:val="000000"/>
                <w:sz w:val="18"/>
                <w:szCs w:val="18"/>
                <w:lang w:eastAsia="en-GB"/>
              </w:rPr>
              <w:t>ied</w:t>
            </w:r>
            <w:r w:rsidRPr="00CA6027">
              <w:rPr>
                <w:rFonts w:asciiTheme="minorHAnsi" w:eastAsia="Arial" w:hAnsiTheme="minorHAnsi" w:cstheme="minorHAnsi"/>
                <w:b/>
                <w:bCs/>
                <w:color w:val="000000"/>
                <w:sz w:val="18"/>
                <w:szCs w:val="18"/>
                <w:lang w:eastAsia="en-GB"/>
              </w:rPr>
              <w:t xml:space="preserve"> Solar PV systems</w:t>
            </w:r>
            <w:r w:rsidRPr="00CA6027">
              <w:rPr>
                <w:rFonts w:asciiTheme="minorHAnsi" w:eastAsia="Arial" w:hAnsiTheme="minorHAnsi" w:cstheme="minorHAnsi"/>
                <w:b/>
                <w:bCs/>
                <w:color w:val="000000"/>
                <w:sz w:val="18"/>
                <w:szCs w:val="18"/>
                <w:lang w:val="en-GB" w:eastAsia="en-GB"/>
              </w:rPr>
              <w:t> </w:t>
            </w:r>
          </w:p>
          <w:p w14:paraId="7F64E11E" w14:textId="28261D4F" w:rsidR="00407161" w:rsidRPr="00CA6027" w:rsidRDefault="00407161" w:rsidP="00601552">
            <w:pPr>
              <w:pStyle w:val="paragraph"/>
              <w:spacing w:before="0" w:beforeAutospacing="0" w:after="0" w:afterAutospacing="0"/>
              <w:jc w:val="both"/>
              <w:textAlignment w:val="baseline"/>
              <w:rPr>
                <w:rFonts w:asciiTheme="minorHAnsi" w:eastAsia="Arial" w:hAnsiTheme="minorHAnsi" w:cstheme="minorHAnsi"/>
                <w:color w:val="000000"/>
                <w:sz w:val="18"/>
                <w:szCs w:val="18"/>
                <w:lang w:eastAsia="en-GB"/>
              </w:rPr>
            </w:pPr>
            <w:r w:rsidRPr="00CA6027">
              <w:rPr>
                <w:rFonts w:asciiTheme="minorHAnsi" w:eastAsia="Arial" w:hAnsiTheme="minorHAnsi" w:cstheme="minorHAnsi"/>
                <w:color w:val="000000"/>
                <w:sz w:val="18"/>
                <w:szCs w:val="18"/>
                <w:lang w:eastAsia="en-GB"/>
              </w:rPr>
              <w:t xml:space="preserve">Grid </w:t>
            </w:r>
            <w:r w:rsidR="001D6316">
              <w:rPr>
                <w:rFonts w:asciiTheme="minorHAnsi" w:eastAsia="Arial" w:hAnsiTheme="minorHAnsi" w:cstheme="minorHAnsi"/>
                <w:color w:val="000000"/>
                <w:sz w:val="18"/>
                <w:szCs w:val="18"/>
                <w:lang w:eastAsia="en-GB"/>
              </w:rPr>
              <w:t>t</w:t>
            </w:r>
            <w:r w:rsidR="001D6316" w:rsidRPr="001D6316">
              <w:rPr>
                <w:rFonts w:asciiTheme="minorHAnsi" w:eastAsia="Arial" w:hAnsiTheme="minorHAnsi" w:cstheme="minorHAnsi"/>
                <w:color w:val="000000"/>
                <w:sz w:val="18"/>
                <w:szCs w:val="18"/>
                <w:lang w:eastAsia="en-GB"/>
              </w:rPr>
              <w:t>ied/</w:t>
            </w:r>
            <w:r w:rsidRPr="00CA6027">
              <w:rPr>
                <w:rFonts w:asciiTheme="minorHAnsi" w:eastAsia="Arial" w:hAnsiTheme="minorHAnsi" w:cstheme="minorHAnsi"/>
                <w:color w:val="000000"/>
                <w:sz w:val="18"/>
                <w:szCs w:val="18"/>
                <w:lang w:eastAsia="en-GB"/>
              </w:rPr>
              <w:t xml:space="preserve">connected hybrid systems are those that combine two or more energy sources like solar PV, batteries, diesel generator or wind, which </w:t>
            </w:r>
            <w:r w:rsidR="00A13017">
              <w:rPr>
                <w:rFonts w:asciiTheme="minorHAnsi" w:eastAsia="Arial" w:hAnsiTheme="minorHAnsi" w:cstheme="minorHAnsi"/>
                <w:color w:val="000000"/>
                <w:sz w:val="18"/>
                <w:szCs w:val="18"/>
                <w:lang w:eastAsia="en-GB"/>
              </w:rPr>
              <w:t>are</w:t>
            </w:r>
            <w:r w:rsidRPr="00CA6027">
              <w:rPr>
                <w:rFonts w:asciiTheme="minorHAnsi" w:eastAsia="Arial" w:hAnsiTheme="minorHAnsi" w:cstheme="minorHAnsi"/>
                <w:color w:val="000000"/>
                <w:sz w:val="18"/>
                <w:szCs w:val="18"/>
                <w:lang w:eastAsia="en-GB"/>
              </w:rPr>
              <w:t xml:space="preserve"> connected to and runs in parallel with the utility network.  </w:t>
            </w:r>
            <w:r w:rsidRPr="00F74036">
              <w:rPr>
                <w:rFonts w:asciiTheme="minorHAnsi" w:eastAsia="Arial" w:hAnsiTheme="minorHAnsi" w:cstheme="minorHAnsi"/>
                <w:b/>
                <w:bCs/>
                <w:color w:val="000000"/>
                <w:sz w:val="18"/>
                <w:szCs w:val="18"/>
                <w:lang w:eastAsia="en-GB"/>
              </w:rPr>
              <w:t>The most common and most relevant hybrid system for Municipal Distributors is a solar PV - battery hybrid.</w:t>
            </w:r>
            <w:r w:rsidRPr="00CA6027">
              <w:rPr>
                <w:rFonts w:asciiTheme="minorHAnsi" w:eastAsia="Arial" w:hAnsiTheme="minorHAnsi" w:cstheme="minorHAnsi"/>
                <w:color w:val="000000"/>
                <w:sz w:val="18"/>
                <w:szCs w:val="18"/>
                <w:lang w:eastAsia="en-GB"/>
              </w:rPr>
              <w:t xml:space="preserve"> These systems mainly run from the solar PV and battery power, and only use the utility to supplement the supply when there is insufficient from the PV or batteries. These systems can also operate during a power outage – hence their increasing popularity. </w:t>
            </w:r>
          </w:p>
          <w:p w14:paraId="0C9CC3D7" w14:textId="3D7CFF8F" w:rsidR="007B1DF5" w:rsidRPr="00CA6027" w:rsidRDefault="007B1DF5" w:rsidP="00601552">
            <w:pPr>
              <w:pStyle w:val="paragraph"/>
              <w:spacing w:before="0" w:beforeAutospacing="0" w:after="0" w:afterAutospacing="0"/>
              <w:jc w:val="both"/>
              <w:textAlignment w:val="baseline"/>
              <w:rPr>
                <w:rFonts w:asciiTheme="minorHAnsi" w:eastAsia="Arial" w:hAnsiTheme="minorHAnsi" w:cstheme="minorHAnsi"/>
                <w:color w:val="000000"/>
                <w:sz w:val="18"/>
                <w:szCs w:val="18"/>
                <w:lang w:val="en-GB" w:eastAsia="en-GB"/>
              </w:rPr>
            </w:pPr>
          </w:p>
        </w:tc>
        <w:tc>
          <w:tcPr>
            <w:tcW w:w="2925" w:type="dxa"/>
            <w:shd w:val="clear" w:color="auto" w:fill="E3F1ED" w:themeFill="accent3" w:themeFillTint="33"/>
          </w:tcPr>
          <w:p w14:paraId="7511B9A9" w14:textId="77777777" w:rsidR="00407161" w:rsidRPr="00CA6027" w:rsidRDefault="00407161" w:rsidP="00C86853">
            <w:pPr>
              <w:pStyle w:val="paragraph"/>
              <w:spacing w:before="0" w:beforeAutospacing="0" w:after="0" w:afterAutospacing="0"/>
              <w:jc w:val="both"/>
              <w:textAlignment w:val="baseline"/>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sz w:val="18"/>
                <w:szCs w:val="18"/>
                <w:lang w:val="en-GB" w:eastAsia="en-GB"/>
              </w:rPr>
            </w:pPr>
            <w:r w:rsidRPr="00CA6027">
              <w:rPr>
                <w:rFonts w:asciiTheme="minorHAnsi" w:eastAsia="Arial" w:hAnsiTheme="minorHAnsi" w:cstheme="minorHAnsi"/>
                <w:color w:val="000000"/>
                <w:sz w:val="18"/>
                <w:szCs w:val="18"/>
                <w:lang w:eastAsia="en-GB"/>
              </w:rPr>
              <w:t xml:space="preserve">These systems </w:t>
            </w:r>
            <w:r w:rsidRPr="00CA6027">
              <w:rPr>
                <w:rFonts w:asciiTheme="minorHAnsi" w:eastAsia="Arial" w:hAnsiTheme="minorHAnsi" w:cstheme="minorHAnsi"/>
                <w:b/>
                <w:bCs/>
                <w:color w:val="000000"/>
                <w:sz w:val="18"/>
                <w:szCs w:val="18"/>
                <w:lang w:eastAsia="en-GB"/>
              </w:rPr>
              <w:t>must comply</w:t>
            </w:r>
            <w:r w:rsidRPr="00CA6027">
              <w:rPr>
                <w:rFonts w:asciiTheme="minorHAnsi" w:eastAsia="Arial" w:hAnsiTheme="minorHAnsi" w:cstheme="minorHAnsi"/>
                <w:color w:val="000000"/>
                <w:sz w:val="18"/>
                <w:szCs w:val="18"/>
                <w:lang w:eastAsia="en-GB"/>
              </w:rPr>
              <w:t xml:space="preserve"> with all Municipal embedded generator requirements.</w:t>
            </w:r>
            <w:r w:rsidRPr="00CA6027">
              <w:rPr>
                <w:rFonts w:asciiTheme="minorHAnsi" w:eastAsia="Arial" w:hAnsiTheme="minorHAnsi" w:cstheme="minorHAnsi"/>
                <w:color w:val="000000"/>
                <w:sz w:val="18"/>
                <w:szCs w:val="18"/>
                <w:lang w:val="en-GB" w:eastAsia="en-GB"/>
              </w:rPr>
              <w:t> </w:t>
            </w:r>
          </w:p>
          <w:p w14:paraId="440C8F31" w14:textId="77777777" w:rsidR="00407161" w:rsidRPr="00CA6027" w:rsidRDefault="00407161" w:rsidP="00C86853">
            <w:pPr>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sz w:val="18"/>
                <w:szCs w:val="18"/>
              </w:rPr>
            </w:pPr>
          </w:p>
        </w:tc>
      </w:tr>
    </w:tbl>
    <w:p w14:paraId="707FEB49" w14:textId="018358EC" w:rsidR="00ED294C" w:rsidRDefault="00ED294C">
      <w:pPr>
        <w:pBdr>
          <w:top w:val="nil"/>
          <w:left w:val="nil"/>
          <w:bottom w:val="nil"/>
          <w:right w:val="nil"/>
          <w:between w:val="nil"/>
        </w:pBdr>
        <w:spacing w:line="276" w:lineRule="auto"/>
        <w:jc w:val="both"/>
        <w:rPr>
          <w:rFonts w:ascii="Arial" w:eastAsia="Arial" w:hAnsi="Arial" w:cs="Arial"/>
          <w:color w:val="000F14"/>
          <w:sz w:val="28"/>
          <w:szCs w:val="28"/>
        </w:rPr>
      </w:pPr>
    </w:p>
    <w:p w14:paraId="189D52A6" w14:textId="5646EEB3" w:rsidR="00ED294C" w:rsidRDefault="00ED294C" w:rsidP="00ED294C">
      <w:pPr>
        <w:pStyle w:val="BodyText"/>
      </w:pPr>
      <w:r>
        <w:rPr>
          <w:noProof/>
          <w:lang w:val="en-GB"/>
        </w:rPr>
        <w:drawing>
          <wp:anchor distT="0" distB="0" distL="0" distR="0" simplePos="0" relativeHeight="251674624" behindDoc="1" locked="0" layoutInCell="1" hidden="0" allowOverlap="1" wp14:anchorId="63D9E4C0" wp14:editId="0A25EB00">
            <wp:simplePos x="0" y="0"/>
            <wp:positionH relativeFrom="column">
              <wp:posOffset>4433455</wp:posOffset>
            </wp:positionH>
            <wp:positionV relativeFrom="paragraph">
              <wp:posOffset>1031529</wp:posOffset>
            </wp:positionV>
            <wp:extent cx="1736758" cy="2433995"/>
            <wp:effectExtent l="0" t="0" r="0" b="0"/>
            <wp:wrapNone/>
            <wp:docPr id="1054" name="image6.png" descr="Shape, logo&#10;&#10;Description automatically generated"/>
            <wp:cNvGraphicFramePr/>
            <a:graphic xmlns:a="http://schemas.openxmlformats.org/drawingml/2006/main">
              <a:graphicData uri="http://schemas.openxmlformats.org/drawingml/2006/picture">
                <pic:pic xmlns:pic="http://schemas.openxmlformats.org/drawingml/2006/picture">
                  <pic:nvPicPr>
                    <pic:cNvPr id="1054" name="image6.png" descr="Shape, logo&#10;&#10;Description automatically generated"/>
                    <pic:cNvPicPr preferRelativeResize="0"/>
                  </pic:nvPicPr>
                  <pic:blipFill>
                    <a:blip r:embed="rId16"/>
                    <a:srcRect/>
                    <a:stretch>
                      <a:fillRect/>
                    </a:stretch>
                  </pic:blipFill>
                  <pic:spPr>
                    <a:xfrm>
                      <a:off x="0" y="0"/>
                      <a:ext cx="1736758" cy="2433995"/>
                    </a:xfrm>
                    <a:prstGeom prst="rect">
                      <a:avLst/>
                    </a:prstGeom>
                    <a:ln/>
                  </pic:spPr>
                </pic:pic>
              </a:graphicData>
            </a:graphic>
          </wp:anchor>
        </w:drawing>
      </w:r>
      <w:r>
        <w:br w:type="page"/>
      </w:r>
    </w:p>
    <w:p w14:paraId="43FC401A" w14:textId="64C886DA" w:rsidR="009045EB" w:rsidRDefault="009045EB">
      <w:pPr>
        <w:pBdr>
          <w:top w:val="nil"/>
          <w:left w:val="nil"/>
          <w:bottom w:val="nil"/>
          <w:right w:val="nil"/>
          <w:between w:val="nil"/>
        </w:pBdr>
        <w:spacing w:line="276" w:lineRule="auto"/>
        <w:jc w:val="both"/>
        <w:rPr>
          <w:rFonts w:ascii="Arial" w:eastAsia="Arial" w:hAnsi="Arial" w:cs="Arial"/>
          <w:color w:val="000F14"/>
          <w:sz w:val="28"/>
          <w:szCs w:val="28"/>
        </w:rPr>
      </w:pPr>
    </w:p>
    <w:p w14:paraId="43FC401B" w14:textId="77777777" w:rsidR="009045EB" w:rsidRDefault="0072593A">
      <w:pPr>
        <w:pStyle w:val="Heading1"/>
        <w:numPr>
          <w:ilvl w:val="0"/>
          <w:numId w:val="4"/>
        </w:numPr>
        <w:rPr>
          <w:rFonts w:ascii="Arial" w:eastAsia="Arial" w:hAnsi="Arial" w:cs="Arial"/>
        </w:rPr>
      </w:pPr>
      <w:bookmarkStart w:id="4" w:name="_Toc128033203"/>
      <w:r>
        <w:rPr>
          <w:rFonts w:ascii="Arial" w:eastAsia="Arial" w:hAnsi="Arial" w:cs="Arial"/>
        </w:rPr>
        <w:t>Abbreviations</w:t>
      </w:r>
      <w:bookmarkEnd w:id="4"/>
      <w:r>
        <w:rPr>
          <w:rFonts w:ascii="Arial" w:eastAsia="Arial" w:hAnsi="Arial" w:cs="Arial"/>
        </w:rPr>
        <w:t xml:space="preserve"> </w:t>
      </w:r>
    </w:p>
    <w:tbl>
      <w:tblPr>
        <w:tblStyle w:val="a4"/>
        <w:tblW w:w="9020" w:type="dxa"/>
        <w:tblBorders>
          <w:top w:val="single" w:sz="4" w:space="0" w:color="A4C9DE"/>
          <w:left w:val="single" w:sz="4" w:space="0" w:color="A4C9DE"/>
          <w:bottom w:val="single" w:sz="4" w:space="0" w:color="A4C9DE"/>
          <w:right w:val="single" w:sz="4" w:space="0" w:color="A4C9DE"/>
          <w:insideH w:val="single" w:sz="4" w:space="0" w:color="A4C9DE"/>
          <w:insideV w:val="single" w:sz="4" w:space="0" w:color="A4C9DE"/>
        </w:tblBorders>
        <w:tblLayout w:type="fixed"/>
        <w:tblLook w:val="0600" w:firstRow="0" w:lastRow="0" w:firstColumn="0" w:lastColumn="0" w:noHBand="1" w:noVBand="1"/>
      </w:tblPr>
      <w:tblGrid>
        <w:gridCol w:w="946"/>
        <w:gridCol w:w="8074"/>
      </w:tblGrid>
      <w:tr w:rsidR="009045EB" w14:paraId="43FC401E" w14:textId="77777777">
        <w:tc>
          <w:tcPr>
            <w:tcW w:w="946" w:type="dxa"/>
          </w:tcPr>
          <w:p w14:paraId="43FC401C"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AC</w:t>
            </w:r>
          </w:p>
        </w:tc>
        <w:tc>
          <w:tcPr>
            <w:tcW w:w="8074" w:type="dxa"/>
          </w:tcPr>
          <w:p w14:paraId="43FC401D"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Alternating current</w:t>
            </w:r>
          </w:p>
        </w:tc>
      </w:tr>
      <w:tr w:rsidR="009045EB" w14:paraId="43FC4021" w14:textId="77777777">
        <w:tc>
          <w:tcPr>
            <w:tcW w:w="946" w:type="dxa"/>
            <w:shd w:val="clear" w:color="auto" w:fill="D6EEF5"/>
          </w:tcPr>
          <w:p w14:paraId="43FC401F"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AMI</w:t>
            </w:r>
          </w:p>
        </w:tc>
        <w:tc>
          <w:tcPr>
            <w:tcW w:w="8074" w:type="dxa"/>
            <w:shd w:val="clear" w:color="auto" w:fill="D6EEF5"/>
          </w:tcPr>
          <w:p w14:paraId="43FC4020"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 xml:space="preserve">Advanced Metering Infrastructure </w:t>
            </w:r>
          </w:p>
        </w:tc>
      </w:tr>
      <w:tr w:rsidR="009045EB" w14:paraId="43FC4024" w14:textId="77777777">
        <w:tc>
          <w:tcPr>
            <w:tcW w:w="946" w:type="dxa"/>
          </w:tcPr>
          <w:p w14:paraId="43FC4022"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DC</w:t>
            </w:r>
          </w:p>
        </w:tc>
        <w:tc>
          <w:tcPr>
            <w:tcW w:w="8074" w:type="dxa"/>
          </w:tcPr>
          <w:p w14:paraId="43FC4023"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Direct current</w:t>
            </w:r>
          </w:p>
        </w:tc>
      </w:tr>
      <w:tr w:rsidR="009045EB" w14:paraId="43FC4027" w14:textId="77777777">
        <w:tc>
          <w:tcPr>
            <w:tcW w:w="946" w:type="dxa"/>
            <w:shd w:val="clear" w:color="auto" w:fill="D6EEF5"/>
          </w:tcPr>
          <w:p w14:paraId="43FC4025"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ECSA</w:t>
            </w:r>
          </w:p>
        </w:tc>
        <w:tc>
          <w:tcPr>
            <w:tcW w:w="8074" w:type="dxa"/>
            <w:shd w:val="clear" w:color="auto" w:fill="D6EEF5"/>
          </w:tcPr>
          <w:p w14:paraId="43FC4026"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 xml:space="preserve">Engineering Council of South Africa </w:t>
            </w:r>
          </w:p>
        </w:tc>
      </w:tr>
      <w:tr w:rsidR="009045EB" w14:paraId="43FC402A" w14:textId="77777777">
        <w:tc>
          <w:tcPr>
            <w:tcW w:w="946" w:type="dxa"/>
          </w:tcPr>
          <w:p w14:paraId="43FC4028"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EG</w:t>
            </w:r>
          </w:p>
        </w:tc>
        <w:tc>
          <w:tcPr>
            <w:tcW w:w="8074" w:type="dxa"/>
          </w:tcPr>
          <w:p w14:paraId="43FC4029"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Embedded Generation/Generator</w:t>
            </w:r>
          </w:p>
        </w:tc>
      </w:tr>
      <w:tr w:rsidR="009045EB" w14:paraId="43FC402D" w14:textId="77777777">
        <w:tc>
          <w:tcPr>
            <w:tcW w:w="946" w:type="dxa"/>
            <w:shd w:val="clear" w:color="auto" w:fill="D6EEF5"/>
          </w:tcPr>
          <w:p w14:paraId="43FC402B"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HV</w:t>
            </w:r>
          </w:p>
        </w:tc>
        <w:tc>
          <w:tcPr>
            <w:tcW w:w="8074" w:type="dxa"/>
            <w:shd w:val="clear" w:color="auto" w:fill="D6EEF5"/>
          </w:tcPr>
          <w:p w14:paraId="43FC402C"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High Voltage</w:t>
            </w:r>
          </w:p>
        </w:tc>
      </w:tr>
      <w:tr w:rsidR="009045EB" w14:paraId="43FC4030" w14:textId="77777777">
        <w:tc>
          <w:tcPr>
            <w:tcW w:w="946" w:type="dxa"/>
          </w:tcPr>
          <w:p w14:paraId="43FC402E"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kVA</w:t>
            </w:r>
          </w:p>
        </w:tc>
        <w:tc>
          <w:tcPr>
            <w:tcW w:w="8074" w:type="dxa"/>
          </w:tcPr>
          <w:p w14:paraId="43FC402F"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 xml:space="preserve">kilo-Volt Ampere (unit of apparent electrical power, often similar in magnitude to kW) </w:t>
            </w:r>
          </w:p>
        </w:tc>
      </w:tr>
      <w:tr w:rsidR="009045EB" w14:paraId="43FC4033" w14:textId="77777777">
        <w:tc>
          <w:tcPr>
            <w:tcW w:w="946" w:type="dxa"/>
            <w:shd w:val="clear" w:color="auto" w:fill="D6EEF5"/>
          </w:tcPr>
          <w:p w14:paraId="43FC4031"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kW</w:t>
            </w:r>
          </w:p>
        </w:tc>
        <w:tc>
          <w:tcPr>
            <w:tcW w:w="8074" w:type="dxa"/>
            <w:shd w:val="clear" w:color="auto" w:fill="D6EEF5"/>
          </w:tcPr>
          <w:p w14:paraId="43FC4032"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kilo-Watt (unit of electrical power)</w:t>
            </w:r>
          </w:p>
        </w:tc>
      </w:tr>
      <w:tr w:rsidR="009045EB" w14:paraId="43FC4036" w14:textId="77777777">
        <w:tc>
          <w:tcPr>
            <w:tcW w:w="946" w:type="dxa"/>
          </w:tcPr>
          <w:p w14:paraId="43FC4034"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kWp</w:t>
            </w:r>
          </w:p>
        </w:tc>
        <w:tc>
          <w:tcPr>
            <w:tcW w:w="8074" w:type="dxa"/>
          </w:tcPr>
          <w:p w14:paraId="43FC4035"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 xml:space="preserve">kilo-Watt peak (the rated peak output of solar PV panels) </w:t>
            </w:r>
          </w:p>
        </w:tc>
      </w:tr>
      <w:tr w:rsidR="009045EB" w14:paraId="43FC4039" w14:textId="77777777">
        <w:tc>
          <w:tcPr>
            <w:tcW w:w="946" w:type="dxa"/>
            <w:shd w:val="clear" w:color="auto" w:fill="D6EEF5"/>
          </w:tcPr>
          <w:p w14:paraId="43FC4037"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LV</w:t>
            </w:r>
          </w:p>
        </w:tc>
        <w:tc>
          <w:tcPr>
            <w:tcW w:w="8074" w:type="dxa"/>
            <w:shd w:val="clear" w:color="auto" w:fill="D6EEF5"/>
          </w:tcPr>
          <w:p w14:paraId="43FC4038"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Low Voltage</w:t>
            </w:r>
          </w:p>
        </w:tc>
      </w:tr>
      <w:tr w:rsidR="009045EB" w14:paraId="43FC403C" w14:textId="77777777">
        <w:tc>
          <w:tcPr>
            <w:tcW w:w="946" w:type="dxa"/>
          </w:tcPr>
          <w:p w14:paraId="43FC403A"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MFMA</w:t>
            </w:r>
          </w:p>
        </w:tc>
        <w:tc>
          <w:tcPr>
            <w:tcW w:w="8074" w:type="dxa"/>
          </w:tcPr>
          <w:p w14:paraId="43FC403B"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Municipal Finance Management Act</w:t>
            </w:r>
          </w:p>
        </w:tc>
      </w:tr>
      <w:tr w:rsidR="009045EB" w14:paraId="43FC403F" w14:textId="77777777">
        <w:tc>
          <w:tcPr>
            <w:tcW w:w="946" w:type="dxa"/>
            <w:shd w:val="clear" w:color="auto" w:fill="D6EEF5"/>
          </w:tcPr>
          <w:p w14:paraId="43FC403D"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MV</w:t>
            </w:r>
          </w:p>
        </w:tc>
        <w:tc>
          <w:tcPr>
            <w:tcW w:w="8074" w:type="dxa"/>
            <w:shd w:val="clear" w:color="auto" w:fill="D6EEF5"/>
          </w:tcPr>
          <w:p w14:paraId="43FC403E"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 xml:space="preserve">Medium Voltage </w:t>
            </w:r>
          </w:p>
        </w:tc>
      </w:tr>
      <w:tr w:rsidR="009045EB" w14:paraId="43FC4042" w14:textId="77777777">
        <w:tc>
          <w:tcPr>
            <w:tcW w:w="946" w:type="dxa"/>
          </w:tcPr>
          <w:p w14:paraId="43FC4040"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MVA</w:t>
            </w:r>
          </w:p>
        </w:tc>
        <w:tc>
          <w:tcPr>
            <w:tcW w:w="8074" w:type="dxa"/>
          </w:tcPr>
          <w:p w14:paraId="43FC4041"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 xml:space="preserve">Mega-Volt Amperes (1000 kVA) </w:t>
            </w:r>
          </w:p>
        </w:tc>
      </w:tr>
      <w:tr w:rsidR="009045EB" w14:paraId="43FC4045" w14:textId="77777777">
        <w:tc>
          <w:tcPr>
            <w:tcW w:w="946" w:type="dxa"/>
            <w:shd w:val="clear" w:color="auto" w:fill="D6EEF5"/>
          </w:tcPr>
          <w:p w14:paraId="43FC4043"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MW</w:t>
            </w:r>
          </w:p>
        </w:tc>
        <w:tc>
          <w:tcPr>
            <w:tcW w:w="8074" w:type="dxa"/>
            <w:shd w:val="clear" w:color="auto" w:fill="D6EEF5"/>
          </w:tcPr>
          <w:p w14:paraId="43FC4044"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Mega-Watt (1000 kW)</w:t>
            </w:r>
          </w:p>
        </w:tc>
      </w:tr>
      <w:tr w:rsidR="009045EB" w14:paraId="43FC4048" w14:textId="77777777">
        <w:tc>
          <w:tcPr>
            <w:tcW w:w="946" w:type="dxa"/>
          </w:tcPr>
          <w:p w14:paraId="43FC4046"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NERSA</w:t>
            </w:r>
          </w:p>
        </w:tc>
        <w:tc>
          <w:tcPr>
            <w:tcW w:w="8074" w:type="dxa"/>
          </w:tcPr>
          <w:p w14:paraId="43FC4047"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National Energy Regulator of South Africa</w:t>
            </w:r>
          </w:p>
        </w:tc>
      </w:tr>
      <w:tr w:rsidR="009045EB" w14:paraId="43FC404B" w14:textId="77777777">
        <w:tc>
          <w:tcPr>
            <w:tcW w:w="946" w:type="dxa"/>
            <w:shd w:val="clear" w:color="auto" w:fill="D6EEF5"/>
          </w:tcPr>
          <w:p w14:paraId="43FC4049"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NMD</w:t>
            </w:r>
          </w:p>
        </w:tc>
        <w:tc>
          <w:tcPr>
            <w:tcW w:w="8074" w:type="dxa"/>
            <w:shd w:val="clear" w:color="auto" w:fill="D6EEF5"/>
          </w:tcPr>
          <w:p w14:paraId="43FC404A"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Notified Maximum Demand</w:t>
            </w:r>
          </w:p>
        </w:tc>
      </w:tr>
      <w:tr w:rsidR="009045EB" w14:paraId="43FC404E" w14:textId="77777777">
        <w:tc>
          <w:tcPr>
            <w:tcW w:w="946" w:type="dxa"/>
          </w:tcPr>
          <w:p w14:paraId="43FC404C"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PV</w:t>
            </w:r>
          </w:p>
        </w:tc>
        <w:tc>
          <w:tcPr>
            <w:tcW w:w="8074" w:type="dxa"/>
          </w:tcPr>
          <w:p w14:paraId="43FC404D"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 xml:space="preserve">Photovoltaic </w:t>
            </w:r>
          </w:p>
        </w:tc>
      </w:tr>
      <w:tr w:rsidR="009045EB" w14:paraId="43FC4051" w14:textId="77777777">
        <w:tc>
          <w:tcPr>
            <w:tcW w:w="946" w:type="dxa"/>
            <w:shd w:val="clear" w:color="auto" w:fill="D6EEF5"/>
          </w:tcPr>
          <w:p w14:paraId="43FC404F"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SSEG</w:t>
            </w:r>
          </w:p>
        </w:tc>
        <w:tc>
          <w:tcPr>
            <w:tcW w:w="8074" w:type="dxa"/>
            <w:shd w:val="clear" w:color="auto" w:fill="D6EEF5"/>
          </w:tcPr>
          <w:p w14:paraId="43FC4050"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 xml:space="preserve">Small Scale Embedded Generation/Generator </w:t>
            </w:r>
          </w:p>
        </w:tc>
      </w:tr>
      <w:tr w:rsidR="009045EB" w14:paraId="43FC4054" w14:textId="77777777" w:rsidTr="000F4BE1">
        <w:tc>
          <w:tcPr>
            <w:tcW w:w="946" w:type="dxa"/>
            <w:shd w:val="clear" w:color="auto" w:fill="D0E6F6" w:themeFill="accent6" w:themeFillTint="33"/>
          </w:tcPr>
          <w:p w14:paraId="43FC4052"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VAT</w:t>
            </w:r>
          </w:p>
        </w:tc>
        <w:tc>
          <w:tcPr>
            <w:tcW w:w="8074" w:type="dxa"/>
            <w:shd w:val="clear" w:color="auto" w:fill="D0E6F6" w:themeFill="accent6" w:themeFillTint="33"/>
          </w:tcPr>
          <w:p w14:paraId="43FC4053" w14:textId="77777777" w:rsidR="009045EB" w:rsidRDefault="0072593A">
            <w:pPr>
              <w:pBdr>
                <w:top w:val="nil"/>
                <w:left w:val="nil"/>
                <w:bottom w:val="nil"/>
                <w:right w:val="nil"/>
                <w:between w:val="nil"/>
              </w:pBdr>
              <w:spacing w:before="0" w:after="0" w:line="360" w:lineRule="auto"/>
              <w:jc w:val="both"/>
              <w:rPr>
                <w:rFonts w:eastAsia="Arial" w:cs="Arial"/>
                <w:sz w:val="20"/>
                <w:szCs w:val="20"/>
              </w:rPr>
            </w:pPr>
            <w:r>
              <w:rPr>
                <w:rFonts w:eastAsia="Arial" w:cs="Arial"/>
                <w:sz w:val="20"/>
                <w:szCs w:val="20"/>
              </w:rPr>
              <w:t>Value Added Tax</w:t>
            </w:r>
          </w:p>
        </w:tc>
      </w:tr>
    </w:tbl>
    <w:p w14:paraId="43FC4055" w14:textId="77777777" w:rsidR="009045EB" w:rsidRDefault="0072593A">
      <w:pPr>
        <w:spacing w:line="276" w:lineRule="auto"/>
        <w:rPr>
          <w:rFonts w:ascii="Arial" w:eastAsia="Arial" w:hAnsi="Arial" w:cs="Arial"/>
        </w:rPr>
      </w:pPr>
      <w:r>
        <w:br w:type="page"/>
      </w:r>
      <w:r>
        <w:rPr>
          <w:noProof/>
        </w:rPr>
        <w:drawing>
          <wp:anchor distT="0" distB="0" distL="0" distR="0" simplePos="0" relativeHeight="251658240" behindDoc="1" locked="0" layoutInCell="1" hidden="0" allowOverlap="1" wp14:anchorId="43FC42D5" wp14:editId="43FC42D6">
            <wp:simplePos x="0" y="0"/>
            <wp:positionH relativeFrom="column">
              <wp:posOffset>-12699</wp:posOffset>
            </wp:positionH>
            <wp:positionV relativeFrom="paragraph">
              <wp:posOffset>255727</wp:posOffset>
            </wp:positionV>
            <wp:extent cx="5588079" cy="2818307"/>
            <wp:effectExtent l="190500" t="190500" r="190500" b="190500"/>
            <wp:wrapNone/>
            <wp:docPr id="103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srcRect/>
                    <a:stretch>
                      <a:fillRect/>
                    </a:stretch>
                  </pic:blipFill>
                  <pic:spPr>
                    <a:xfrm>
                      <a:off x="0" y="0"/>
                      <a:ext cx="5588079" cy="2818307"/>
                    </a:xfrm>
                    <a:prstGeom prst="rect">
                      <a:avLst/>
                    </a:prstGeom>
                    <a:ln w="190500">
                      <a:solidFill>
                        <a:srgbClr val="FFFFFF"/>
                      </a:solidFill>
                      <a:prstDash val="solid"/>
                    </a:ln>
                  </pic:spPr>
                </pic:pic>
              </a:graphicData>
            </a:graphic>
          </wp:anchor>
        </w:drawing>
      </w:r>
      <w:r>
        <w:rPr>
          <w:noProof/>
        </w:rPr>
        <w:drawing>
          <wp:anchor distT="0" distB="0" distL="0" distR="0" simplePos="0" relativeHeight="251659264" behindDoc="1" locked="0" layoutInCell="1" hidden="0" allowOverlap="1" wp14:anchorId="43FC42D7" wp14:editId="43FC42D8">
            <wp:simplePos x="0" y="0"/>
            <wp:positionH relativeFrom="column">
              <wp:posOffset>-533399</wp:posOffset>
            </wp:positionH>
            <wp:positionV relativeFrom="paragraph">
              <wp:posOffset>1267460</wp:posOffset>
            </wp:positionV>
            <wp:extent cx="1718682" cy="2408555"/>
            <wp:effectExtent l="0" t="0" r="0" b="0"/>
            <wp:wrapNone/>
            <wp:docPr id="10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10800000">
                      <a:off x="0" y="0"/>
                      <a:ext cx="1718682" cy="2408555"/>
                    </a:xfrm>
                    <a:prstGeom prst="rect">
                      <a:avLst/>
                    </a:prstGeom>
                    <a:ln/>
                  </pic:spPr>
                </pic:pic>
              </a:graphicData>
            </a:graphic>
          </wp:anchor>
        </w:drawing>
      </w:r>
    </w:p>
    <w:p w14:paraId="43FC4056" w14:textId="77777777" w:rsidR="009045EB" w:rsidRDefault="0072593A">
      <w:pPr>
        <w:pStyle w:val="Heading1"/>
        <w:numPr>
          <w:ilvl w:val="0"/>
          <w:numId w:val="12"/>
        </w:numPr>
        <w:rPr>
          <w:rFonts w:ascii="Arial" w:eastAsia="Arial" w:hAnsi="Arial" w:cs="Arial"/>
          <w:color w:val="1E2B44"/>
        </w:rPr>
      </w:pPr>
      <w:bookmarkStart w:id="5" w:name="_Toc128033204"/>
      <w:r>
        <w:rPr>
          <w:rFonts w:ascii="Arial" w:eastAsia="Arial" w:hAnsi="Arial" w:cs="Arial"/>
          <w:color w:val="1E2B44"/>
        </w:rPr>
        <w:lastRenderedPageBreak/>
        <w:t>Introduction</w:t>
      </w:r>
      <w:bookmarkEnd w:id="5"/>
    </w:p>
    <w:p w14:paraId="43FC4057"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Due to increases in the price of electricity from the national grid and a steady decline in the price of decentralised generation options such as solar PV small-scale embedded generation (e.g. ‘rooftop’ type systems), decentralised generators are </w:t>
      </w:r>
      <w:r>
        <w:rPr>
          <w:rFonts w:ascii="Arial" w:eastAsia="Arial" w:hAnsi="Arial" w:cs="Arial"/>
          <w:color w:val="000000"/>
          <w:szCs w:val="20"/>
          <w:u w:val="single"/>
        </w:rPr>
        <w:t>becoming financially more attractive</w:t>
      </w:r>
      <w:r>
        <w:rPr>
          <w:rFonts w:ascii="Arial" w:eastAsia="Arial" w:hAnsi="Arial" w:cs="Arial"/>
          <w:color w:val="000000"/>
          <w:szCs w:val="20"/>
        </w:rPr>
        <w:t xml:space="preserve"> in South Africa. Increasingly such systems are being installed by businesses and residences. It is therefore important that </w:t>
      </w:r>
      <w:r>
        <w:rPr>
          <w:rFonts w:ascii="Arial" w:eastAsia="Arial" w:hAnsi="Arial" w:cs="Arial"/>
          <w:color w:val="000000"/>
          <w:szCs w:val="20"/>
          <w:u w:val="single"/>
        </w:rPr>
        <w:t>approval procedures and standards are established</w:t>
      </w:r>
      <w:r>
        <w:rPr>
          <w:rFonts w:ascii="Arial" w:eastAsia="Arial" w:hAnsi="Arial" w:cs="Arial"/>
          <w:color w:val="000000"/>
          <w:szCs w:val="20"/>
        </w:rPr>
        <w:t xml:space="preserve"> by municipal distributors to regularise this fast changing situation.</w:t>
      </w:r>
    </w:p>
    <w:p w14:paraId="43FC4058"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59"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u w:val="single"/>
        </w:rPr>
        <w:t>Municipal distributors are legally obliged to ensure that distribution grid power quality is maintained and safety standards are upheld to protect municipal staff working on the network</w:t>
      </w:r>
      <w:r>
        <w:rPr>
          <w:rFonts w:ascii="Arial" w:eastAsia="Arial" w:hAnsi="Arial" w:cs="Arial"/>
          <w:color w:val="000000"/>
          <w:szCs w:val="20"/>
        </w:rPr>
        <w:t>, to protect the public in general, and to protect municipal infrastructure. Also, the potential revenue impact of accelerating EG installations needs to be managed. This requires that specific EG tariffs are introduced.</w:t>
      </w:r>
    </w:p>
    <w:p w14:paraId="43FC405A"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5B"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Municipalities are obliged to provide open and non-discriminatory access to embedded generators according to the Distribution Code, and also are moving to </w:t>
      </w:r>
      <w:r>
        <w:rPr>
          <w:rFonts w:ascii="Arial" w:eastAsia="Arial" w:hAnsi="Arial" w:cs="Arial"/>
          <w:color w:val="000000"/>
          <w:szCs w:val="20"/>
          <w:u w:val="single"/>
        </w:rPr>
        <w:t>embrace low-carbon energy and green economic growth</w:t>
      </w:r>
      <w:r>
        <w:rPr>
          <w:rFonts w:ascii="Arial" w:eastAsia="Arial" w:hAnsi="Arial" w:cs="Arial"/>
          <w:color w:val="000000"/>
          <w:szCs w:val="20"/>
        </w:rPr>
        <w:t xml:space="preserve"> opportunities.  Municipalities play a vital role in facilitating the growth of the EG market. A user-friendly framework around installation application and approval is important in this regard. Such a framework will also minimise systems being installed without permission, thereby potentially not meeting required safety and quality standards.</w:t>
      </w:r>
    </w:p>
    <w:p w14:paraId="43FC405C"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5D"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This document outlines the municipal requirements and processes for prospective EG installations to connect to the municipal electrical network such that the above factors are balanced</w:t>
      </w:r>
      <w:r w:rsidRPr="00541E14">
        <w:rPr>
          <w:rFonts w:ascii="Arial" w:eastAsia="Arial" w:hAnsi="Arial" w:cs="Arial"/>
          <w:color w:val="000000"/>
          <w:szCs w:val="20"/>
        </w:rPr>
        <w:t>. The focus is on SSEG, although broad guidance is provided for larger generators.</w:t>
      </w:r>
    </w:p>
    <w:p w14:paraId="43FC405E" w14:textId="77777777" w:rsidR="009045EB" w:rsidRDefault="0072593A">
      <w:pPr>
        <w:pStyle w:val="Heading2"/>
        <w:numPr>
          <w:ilvl w:val="1"/>
          <w:numId w:val="12"/>
        </w:numPr>
      </w:pPr>
      <w:bookmarkStart w:id="6" w:name="_Toc128033205"/>
      <w:r>
        <w:t>Connecting larger generators to the distribution grid</w:t>
      </w:r>
      <w:bookmarkEnd w:id="6"/>
    </w:p>
    <w:p w14:paraId="43FC405F" w14:textId="26F7148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This document covers small-scale embedded generators, with a detailed focus on generators falling under the simplified connection criteria assessment method (see Table 1). Larger generators typically require Grid Impact and/or Grid Code compliance assessments.</w:t>
      </w:r>
    </w:p>
    <w:p w14:paraId="43FC4060" w14:textId="30B0589F" w:rsidR="009045EB" w:rsidRDefault="0072593A">
      <w:pPr>
        <w:keepNext/>
        <w:pBdr>
          <w:top w:val="nil"/>
          <w:left w:val="nil"/>
          <w:bottom w:val="nil"/>
          <w:right w:val="nil"/>
          <w:between w:val="nil"/>
        </w:pBdr>
        <w:spacing w:before="120" w:after="120"/>
        <w:ind w:left="357" w:hanging="357"/>
        <w:rPr>
          <w:rFonts w:ascii="Arial" w:eastAsia="Arial" w:hAnsi="Arial" w:cs="Arial"/>
          <w:i/>
          <w:color w:val="75B5E4"/>
          <w:szCs w:val="20"/>
        </w:rPr>
      </w:pPr>
      <w:bookmarkStart w:id="7" w:name="_heading=h.2s8eyo1" w:colFirst="0" w:colLast="0"/>
      <w:bookmarkEnd w:id="7"/>
      <w:r>
        <w:rPr>
          <w:rFonts w:ascii="Arial" w:eastAsia="Arial" w:hAnsi="Arial" w:cs="Arial"/>
          <w:i/>
          <w:color w:val="75B5E4"/>
          <w:szCs w:val="20"/>
        </w:rPr>
        <w:t>Table 1: Summary of connection assessment requirements for small- and large-scale generators</w:t>
      </w:r>
    </w:p>
    <w:tbl>
      <w:tblPr>
        <w:tblStyle w:val="a5"/>
        <w:tblW w:w="9067" w:type="dxa"/>
        <w:tblBorders>
          <w:top w:val="single" w:sz="4" w:space="0" w:color="666666"/>
          <w:left w:val="single" w:sz="4" w:space="0" w:color="666666"/>
          <w:bottom w:val="single" w:sz="4" w:space="0" w:color="666666"/>
          <w:right w:val="single" w:sz="4" w:space="0" w:color="666666"/>
          <w:insideH w:val="single" w:sz="4" w:space="0" w:color="FFFFFF"/>
          <w:insideV w:val="single" w:sz="4" w:space="0" w:color="666666"/>
        </w:tblBorders>
        <w:tblLayout w:type="fixed"/>
        <w:tblLook w:val="04A0" w:firstRow="1" w:lastRow="0" w:firstColumn="1" w:lastColumn="0" w:noHBand="0" w:noVBand="1"/>
      </w:tblPr>
      <w:tblGrid>
        <w:gridCol w:w="1555"/>
        <w:gridCol w:w="1275"/>
        <w:gridCol w:w="2127"/>
        <w:gridCol w:w="1984"/>
        <w:gridCol w:w="2126"/>
      </w:tblGrid>
      <w:tr w:rsidR="001E3FA1" w:rsidRPr="001E3FA1" w14:paraId="43FC4063" w14:textId="77777777" w:rsidTr="00904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3"/>
            <w:shd w:val="clear" w:color="auto" w:fill="2683C6"/>
          </w:tcPr>
          <w:p w14:paraId="43FC4061" w14:textId="77777777" w:rsidR="009045EB" w:rsidRPr="001E3FA1" w:rsidRDefault="0072593A">
            <w:pPr>
              <w:pBdr>
                <w:top w:val="nil"/>
                <w:left w:val="nil"/>
                <w:bottom w:val="nil"/>
                <w:right w:val="nil"/>
                <w:between w:val="nil"/>
              </w:pBdr>
              <w:spacing w:line="276" w:lineRule="auto"/>
              <w:jc w:val="center"/>
              <w:rPr>
                <w:rFonts w:eastAsia="Arial" w:cs="Arial"/>
                <w:bCs/>
                <w:color w:val="FFFFFF" w:themeColor="background1"/>
                <w:sz w:val="20"/>
                <w:szCs w:val="20"/>
              </w:rPr>
            </w:pPr>
            <w:r w:rsidRPr="001E3FA1">
              <w:rPr>
                <w:rFonts w:eastAsia="Arial" w:cs="Arial"/>
                <w:bCs/>
                <w:color w:val="FFFFFF" w:themeColor="background1"/>
                <w:sz w:val="20"/>
                <w:szCs w:val="20"/>
              </w:rPr>
              <w:t>Generator characteristics</w:t>
            </w:r>
          </w:p>
        </w:tc>
        <w:tc>
          <w:tcPr>
            <w:tcW w:w="4110" w:type="dxa"/>
            <w:gridSpan w:val="2"/>
            <w:shd w:val="clear" w:color="auto" w:fill="2683C6"/>
          </w:tcPr>
          <w:p w14:paraId="43FC4062" w14:textId="77777777" w:rsidR="009045EB" w:rsidRPr="001E3FA1" w:rsidRDefault="0072593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cs="Arial"/>
                <w:bCs/>
                <w:color w:val="FFFFFF" w:themeColor="background1"/>
                <w:sz w:val="20"/>
                <w:szCs w:val="20"/>
              </w:rPr>
            </w:pPr>
            <w:r w:rsidRPr="001E3FA1">
              <w:rPr>
                <w:rFonts w:eastAsia="Arial" w:cs="Arial"/>
                <w:bCs/>
                <w:color w:val="FFFFFF" w:themeColor="background1"/>
                <w:sz w:val="20"/>
                <w:szCs w:val="20"/>
              </w:rPr>
              <w:t>Connection assessment method</w:t>
            </w:r>
          </w:p>
        </w:tc>
      </w:tr>
      <w:tr w:rsidR="009045EB" w14:paraId="43FC4069" w14:textId="77777777" w:rsidTr="009045EB">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shd w:val="clear" w:color="auto" w:fill="2683C6"/>
          </w:tcPr>
          <w:p w14:paraId="43FC4064" w14:textId="77777777" w:rsidR="009045EB" w:rsidRDefault="0072593A">
            <w:pPr>
              <w:pBdr>
                <w:top w:val="nil"/>
                <w:left w:val="nil"/>
                <w:bottom w:val="nil"/>
                <w:right w:val="nil"/>
                <w:between w:val="nil"/>
              </w:pBdr>
              <w:spacing w:before="0" w:after="0" w:line="276" w:lineRule="auto"/>
              <w:rPr>
                <w:rFonts w:eastAsia="Arial" w:cs="Arial"/>
                <w:color w:val="FFFFFF"/>
                <w:sz w:val="20"/>
                <w:szCs w:val="20"/>
              </w:rPr>
            </w:pPr>
            <w:r>
              <w:rPr>
                <w:rFonts w:eastAsia="Arial" w:cs="Arial"/>
                <w:b w:val="0"/>
                <w:color w:val="FFFFFF"/>
                <w:sz w:val="20"/>
                <w:szCs w:val="20"/>
              </w:rPr>
              <w:t>Scale</w:t>
            </w:r>
          </w:p>
        </w:tc>
        <w:tc>
          <w:tcPr>
            <w:tcW w:w="1275" w:type="dxa"/>
            <w:tcBorders>
              <w:top w:val="single" w:sz="4" w:space="0" w:color="000000"/>
              <w:left w:val="single" w:sz="4" w:space="0" w:color="000000"/>
              <w:bottom w:val="single" w:sz="4" w:space="0" w:color="000000"/>
              <w:right w:val="single" w:sz="4" w:space="0" w:color="000000"/>
            </w:tcBorders>
            <w:shd w:val="clear" w:color="auto" w:fill="2683C6"/>
          </w:tcPr>
          <w:p w14:paraId="43FC4065" w14:textId="77777777" w:rsidR="009045EB" w:rsidRDefault="0072593A">
            <w:pPr>
              <w:pBdr>
                <w:top w:val="nil"/>
                <w:left w:val="nil"/>
                <w:bottom w:val="nil"/>
                <w:right w:val="nil"/>
                <w:between w:val="nil"/>
              </w:pBdr>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color w:val="FFFFFF"/>
                <w:sz w:val="20"/>
                <w:szCs w:val="20"/>
              </w:rPr>
            </w:pPr>
            <w:r>
              <w:rPr>
                <w:rFonts w:eastAsia="Arial" w:cs="Arial"/>
                <w:color w:val="FFFFFF"/>
                <w:sz w:val="20"/>
                <w:szCs w:val="20"/>
              </w:rPr>
              <w:t>Size</w:t>
            </w:r>
          </w:p>
        </w:tc>
        <w:tc>
          <w:tcPr>
            <w:tcW w:w="2127" w:type="dxa"/>
            <w:tcBorders>
              <w:top w:val="single" w:sz="4" w:space="0" w:color="000000"/>
              <w:left w:val="single" w:sz="4" w:space="0" w:color="000000"/>
              <w:bottom w:val="single" w:sz="4" w:space="0" w:color="000000"/>
              <w:right w:val="single" w:sz="4" w:space="0" w:color="000000"/>
            </w:tcBorders>
            <w:shd w:val="clear" w:color="auto" w:fill="2683C6"/>
          </w:tcPr>
          <w:p w14:paraId="43FC4066" w14:textId="77777777" w:rsidR="009045EB" w:rsidRDefault="0072593A">
            <w:pPr>
              <w:pBdr>
                <w:top w:val="nil"/>
                <w:left w:val="nil"/>
                <w:bottom w:val="nil"/>
                <w:right w:val="nil"/>
                <w:between w:val="nil"/>
              </w:pBdr>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color w:val="FFFFFF"/>
                <w:sz w:val="20"/>
                <w:szCs w:val="20"/>
              </w:rPr>
            </w:pPr>
            <w:r>
              <w:rPr>
                <w:rFonts w:eastAsia="Arial" w:cs="Arial"/>
                <w:color w:val="FFFFFF"/>
                <w:sz w:val="20"/>
                <w:szCs w:val="20"/>
              </w:rPr>
              <w:t>LV or MV connected generator</w:t>
            </w:r>
          </w:p>
        </w:tc>
        <w:tc>
          <w:tcPr>
            <w:tcW w:w="1984" w:type="dxa"/>
            <w:tcBorders>
              <w:top w:val="single" w:sz="4" w:space="0" w:color="000000"/>
              <w:left w:val="single" w:sz="4" w:space="0" w:color="000000"/>
              <w:bottom w:val="single" w:sz="4" w:space="0" w:color="000000"/>
              <w:right w:val="single" w:sz="4" w:space="0" w:color="000000"/>
            </w:tcBorders>
            <w:shd w:val="clear" w:color="auto" w:fill="2683C6"/>
          </w:tcPr>
          <w:p w14:paraId="43FC4067" w14:textId="77777777" w:rsidR="009045EB" w:rsidRDefault="0072593A">
            <w:pPr>
              <w:pBdr>
                <w:top w:val="nil"/>
                <w:left w:val="nil"/>
                <w:bottom w:val="nil"/>
                <w:right w:val="nil"/>
                <w:between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FFFFFF"/>
                <w:sz w:val="20"/>
                <w:szCs w:val="20"/>
              </w:rPr>
            </w:pPr>
            <w:r>
              <w:rPr>
                <w:rFonts w:eastAsia="Arial" w:cs="Arial"/>
                <w:color w:val="FFFFFF"/>
                <w:sz w:val="20"/>
                <w:szCs w:val="20"/>
              </w:rPr>
              <w:t>Simplified criteria (NRS097-2-3)</w:t>
            </w:r>
          </w:p>
        </w:tc>
        <w:tc>
          <w:tcPr>
            <w:tcW w:w="2126" w:type="dxa"/>
            <w:tcBorders>
              <w:top w:val="single" w:sz="4" w:space="0" w:color="000000"/>
              <w:left w:val="single" w:sz="4" w:space="0" w:color="000000"/>
              <w:bottom w:val="single" w:sz="4" w:space="0" w:color="000000"/>
              <w:right w:val="single" w:sz="4" w:space="0" w:color="000000"/>
            </w:tcBorders>
            <w:shd w:val="clear" w:color="auto" w:fill="2683C6"/>
          </w:tcPr>
          <w:p w14:paraId="43FC4068" w14:textId="77777777" w:rsidR="009045EB" w:rsidRDefault="0072593A">
            <w:pPr>
              <w:pBdr>
                <w:top w:val="nil"/>
                <w:left w:val="nil"/>
                <w:bottom w:val="nil"/>
                <w:right w:val="nil"/>
                <w:between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FFFFFF"/>
                <w:sz w:val="20"/>
                <w:szCs w:val="20"/>
              </w:rPr>
            </w:pPr>
            <w:r>
              <w:rPr>
                <w:rFonts w:eastAsia="Arial" w:cs="Arial"/>
                <w:color w:val="FFFFFF"/>
                <w:sz w:val="20"/>
                <w:szCs w:val="20"/>
              </w:rPr>
              <w:t>Grid studies</w:t>
            </w:r>
          </w:p>
        </w:tc>
      </w:tr>
      <w:tr w:rsidR="00894132" w14:paraId="43FC4071" w14:textId="77777777" w:rsidTr="00904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4" w:space="0" w:color="000000"/>
              <w:left w:val="single" w:sz="4" w:space="0" w:color="000000"/>
              <w:right w:val="single" w:sz="4" w:space="0" w:color="000000"/>
            </w:tcBorders>
            <w:shd w:val="clear" w:color="auto" w:fill="auto"/>
          </w:tcPr>
          <w:p w14:paraId="43FC406A" w14:textId="77777777" w:rsidR="00894132" w:rsidRDefault="00894132">
            <w:pPr>
              <w:pBdr>
                <w:top w:val="nil"/>
                <w:left w:val="nil"/>
                <w:bottom w:val="nil"/>
                <w:right w:val="nil"/>
                <w:between w:val="nil"/>
              </w:pBdr>
              <w:spacing w:before="0" w:after="0" w:line="276" w:lineRule="auto"/>
              <w:rPr>
                <w:rFonts w:eastAsia="Arial" w:cs="Arial"/>
                <w:color w:val="000000"/>
                <w:sz w:val="20"/>
                <w:szCs w:val="20"/>
              </w:rPr>
            </w:pPr>
            <w:r>
              <w:rPr>
                <w:rFonts w:eastAsia="Arial" w:cs="Arial"/>
                <w:b w:val="0"/>
                <w:color w:val="000000"/>
                <w:sz w:val="20"/>
                <w:szCs w:val="20"/>
              </w:rPr>
              <w:t>Small-scale (up to 1MVA)</w:t>
            </w:r>
          </w:p>
        </w:tc>
        <w:tc>
          <w:tcPr>
            <w:tcW w:w="1275" w:type="dxa"/>
            <w:vMerge w:val="restart"/>
            <w:tcBorders>
              <w:top w:val="single" w:sz="4" w:space="0" w:color="000000"/>
              <w:left w:val="single" w:sz="4" w:space="0" w:color="000000"/>
              <w:right w:val="single" w:sz="4" w:space="0" w:color="000000"/>
            </w:tcBorders>
            <w:shd w:val="clear" w:color="auto" w:fill="auto"/>
          </w:tcPr>
          <w:p w14:paraId="43FC406B" w14:textId="47F26159" w:rsidR="00894132" w:rsidRDefault="00894132" w:rsidP="00C86853">
            <w:pPr>
              <w:pBdr>
                <w:top w:val="nil"/>
                <w:left w:val="nil"/>
                <w:bottom w:val="nil"/>
                <w:right w:val="nil"/>
                <w:between w:val="nil"/>
              </w:pBdr>
              <w:spacing w:before="0" w:after="0" w:line="276"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Pr>
                <w:rFonts w:eastAsia="Arial" w:cs="Arial"/>
                <w:sz w:val="20"/>
                <w:szCs w:val="20"/>
              </w:rPr>
              <w:t>0-1MVA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3FC406C" w14:textId="77777777" w:rsidR="00894132" w:rsidRDefault="00894132">
            <w:pPr>
              <w:pBdr>
                <w:top w:val="nil"/>
                <w:left w:val="nil"/>
                <w:bottom w:val="nil"/>
                <w:right w:val="nil"/>
                <w:between w:val="nil"/>
              </w:pBdr>
              <w:spacing w:before="0" w:after="0" w:line="276"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Pr>
                <w:rFonts w:eastAsia="Arial" w:cs="Arial"/>
                <w:sz w:val="20"/>
                <w:szCs w:val="20"/>
              </w:rPr>
              <w:t>LV connected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3FC406D" w14:textId="793ECD06" w:rsidR="00894132" w:rsidRDefault="00894132">
            <w:pPr>
              <w:pBdr>
                <w:top w:val="nil"/>
                <w:left w:val="nil"/>
                <w:bottom w:val="nil"/>
                <w:right w:val="nil"/>
                <w:between w:val="nil"/>
              </w:pBd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eastAsia="Arial" w:cs="Arial"/>
                <w:sz w:val="40"/>
                <w:szCs w:val="40"/>
              </w:rPr>
            </w:pPr>
            <w:r>
              <w:rPr>
                <w:rFonts w:ascii="Wingdings" w:eastAsia="Wingdings" w:hAnsi="Wingdings" w:cs="Wingdings"/>
                <w:sz w:val="40"/>
                <w:szCs w:val="40"/>
              </w:rPr>
              <w:sym w:font="Wingdings" w:char="F0FC"/>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FC406E" w14:textId="1256C705" w:rsidR="00894132" w:rsidRDefault="00894132">
            <w:pPr>
              <w:pBdr>
                <w:top w:val="nil"/>
                <w:left w:val="nil"/>
                <w:bottom w:val="nil"/>
                <w:right w:val="nil"/>
                <w:between w:val="nil"/>
              </w:pBdr>
              <w:spacing w:before="0"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Pr>
                <w:rFonts w:ascii="Wingdings" w:eastAsia="Wingdings" w:hAnsi="Wingdings" w:cs="Wingdings"/>
                <w:sz w:val="40"/>
                <w:szCs w:val="40"/>
              </w:rPr>
              <w:sym w:font="Wingdings" w:char="F0FB"/>
            </w:r>
          </w:p>
          <w:p w14:paraId="43FC406F" w14:textId="77777777" w:rsidR="00894132" w:rsidRDefault="00894132">
            <w:pPr>
              <w:pBdr>
                <w:top w:val="nil"/>
                <w:left w:val="nil"/>
                <w:bottom w:val="nil"/>
                <w:right w:val="nil"/>
                <w:between w:val="nil"/>
              </w:pBdr>
              <w:spacing w:before="0"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Pr>
                <w:rFonts w:eastAsia="Arial" w:cs="Arial"/>
                <w:sz w:val="20"/>
                <w:szCs w:val="20"/>
              </w:rPr>
              <w:t xml:space="preserve">(if complies with </w:t>
            </w:r>
          </w:p>
          <w:p w14:paraId="43FC4070" w14:textId="77777777" w:rsidR="00894132" w:rsidRDefault="00894132">
            <w:pPr>
              <w:pBdr>
                <w:top w:val="nil"/>
                <w:left w:val="nil"/>
                <w:bottom w:val="nil"/>
                <w:right w:val="nil"/>
                <w:between w:val="nil"/>
              </w:pBdr>
              <w:spacing w:before="0"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Pr>
                <w:rFonts w:eastAsia="Arial" w:cs="Arial"/>
                <w:sz w:val="20"/>
                <w:szCs w:val="20"/>
              </w:rPr>
              <w:t>NRS097-2-3)</w:t>
            </w:r>
          </w:p>
        </w:tc>
      </w:tr>
      <w:tr w:rsidR="00894132" w14:paraId="43FC4077" w14:textId="77777777" w:rsidTr="009E5D30">
        <w:trPr>
          <w:trHeight w:val="737"/>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000000"/>
              <w:left w:val="single" w:sz="4" w:space="0" w:color="000000"/>
              <w:right w:val="single" w:sz="4" w:space="0" w:color="000000"/>
            </w:tcBorders>
            <w:shd w:val="clear" w:color="auto" w:fill="auto"/>
          </w:tcPr>
          <w:p w14:paraId="43FC4072" w14:textId="77777777" w:rsidR="00894132" w:rsidRDefault="00894132">
            <w:pPr>
              <w:widowControl w:val="0"/>
              <w:pBdr>
                <w:top w:val="nil"/>
                <w:left w:val="nil"/>
                <w:bottom w:val="nil"/>
                <w:right w:val="nil"/>
                <w:between w:val="nil"/>
              </w:pBdr>
              <w:spacing w:before="0" w:after="0" w:line="276" w:lineRule="auto"/>
              <w:rPr>
                <w:rFonts w:eastAsia="Arial" w:cs="Arial"/>
                <w:color w:val="000000"/>
                <w:sz w:val="20"/>
                <w:szCs w:val="20"/>
              </w:rPr>
            </w:pPr>
          </w:p>
        </w:tc>
        <w:tc>
          <w:tcPr>
            <w:tcW w:w="0" w:type="dxa"/>
            <w:vMerge/>
            <w:tcBorders>
              <w:left w:val="single" w:sz="4" w:space="0" w:color="000000"/>
              <w:right w:val="single" w:sz="4" w:space="0" w:color="000000"/>
            </w:tcBorders>
            <w:shd w:val="clear" w:color="auto" w:fill="auto"/>
          </w:tcPr>
          <w:p w14:paraId="43FC4073" w14:textId="286C0A4B" w:rsidR="00894132" w:rsidRDefault="00894132" w:rsidP="00C86853">
            <w:pPr>
              <w:pBdr>
                <w:top w:val="nil"/>
                <w:left w:val="nil"/>
                <w:bottom w:val="nil"/>
                <w:right w:val="nil"/>
                <w:between w:val="nil"/>
              </w:pBdr>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tc>
        <w:tc>
          <w:tcPr>
            <w:tcW w:w="0" w:type="dxa"/>
            <w:tcBorders>
              <w:top w:val="single" w:sz="4" w:space="0" w:color="000000"/>
              <w:left w:val="single" w:sz="4" w:space="0" w:color="000000"/>
              <w:right w:val="single" w:sz="4" w:space="0" w:color="000000"/>
            </w:tcBorders>
            <w:shd w:val="clear" w:color="auto" w:fill="auto"/>
          </w:tcPr>
          <w:p w14:paraId="43FC4074" w14:textId="5AF645A7" w:rsidR="00894132" w:rsidRDefault="00894132" w:rsidP="00C86853">
            <w:pPr>
              <w:pBdr>
                <w:top w:val="nil"/>
                <w:left w:val="nil"/>
                <w:bottom w:val="nil"/>
                <w:right w:val="nil"/>
                <w:between w:val="nil"/>
              </w:pBdr>
              <w:spacing w:before="0" w:after="0" w:line="276"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MV connected</w:t>
            </w:r>
          </w:p>
        </w:tc>
        <w:tc>
          <w:tcPr>
            <w:tcW w:w="0" w:type="dxa"/>
            <w:tcBorders>
              <w:top w:val="single" w:sz="4" w:space="0" w:color="000000"/>
              <w:left w:val="single" w:sz="4" w:space="0" w:color="000000"/>
              <w:right w:val="single" w:sz="4" w:space="0" w:color="000000"/>
            </w:tcBorders>
            <w:shd w:val="clear" w:color="auto" w:fill="auto"/>
          </w:tcPr>
          <w:p w14:paraId="43FC4075" w14:textId="0D0489B5" w:rsidR="00894132" w:rsidRPr="005163A5" w:rsidRDefault="00894132" w:rsidP="00894132">
            <w:pPr>
              <w:pBdr>
                <w:top w:val="nil"/>
                <w:left w:val="nil"/>
                <w:bottom w:val="nil"/>
                <w:right w:val="nil"/>
                <w:between w:val="nil"/>
              </w:pBdr>
              <w:spacing w:before="0" w:after="0"/>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ascii="Wingdings" w:eastAsia="Wingdings" w:hAnsi="Wingdings" w:cs="Wingdings"/>
                <w:sz w:val="40"/>
                <w:szCs w:val="40"/>
              </w:rPr>
              <w:sym w:font="Wingdings" w:char="F0FB"/>
            </w:r>
          </w:p>
        </w:tc>
        <w:tc>
          <w:tcPr>
            <w:tcW w:w="0" w:type="dxa"/>
            <w:tcBorders>
              <w:top w:val="single" w:sz="4" w:space="0" w:color="000000"/>
              <w:left w:val="single" w:sz="4" w:space="0" w:color="000000"/>
              <w:right w:val="single" w:sz="4" w:space="0" w:color="000000"/>
            </w:tcBorders>
            <w:shd w:val="clear" w:color="auto" w:fill="auto"/>
          </w:tcPr>
          <w:p w14:paraId="43FC4076" w14:textId="5CBC4350" w:rsidR="00894132" w:rsidRDefault="00894132" w:rsidP="00894132">
            <w:pPr>
              <w:pBdr>
                <w:top w:val="nil"/>
                <w:left w:val="nil"/>
                <w:bottom w:val="nil"/>
                <w:right w:val="nil"/>
                <w:between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40"/>
                <w:szCs w:val="40"/>
              </w:rPr>
            </w:pPr>
            <w:r>
              <w:rPr>
                <w:rFonts w:ascii="Wingdings" w:eastAsia="Wingdings" w:hAnsi="Wingdings" w:cs="Wingdings"/>
                <w:sz w:val="40"/>
                <w:szCs w:val="40"/>
              </w:rPr>
              <w:sym w:font="Wingdings" w:char="F0FC"/>
            </w:r>
          </w:p>
        </w:tc>
      </w:tr>
      <w:tr w:rsidR="00615EC4" w14:paraId="43FC4083" w14:textId="77777777" w:rsidTr="00904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000000"/>
              <w:left w:val="single" w:sz="4" w:space="0" w:color="000000"/>
              <w:bottom w:val="single" w:sz="4" w:space="0" w:color="000000"/>
              <w:right w:val="single" w:sz="4" w:space="0" w:color="000000"/>
            </w:tcBorders>
            <w:shd w:val="clear" w:color="auto" w:fill="auto"/>
          </w:tcPr>
          <w:p w14:paraId="43FC407E" w14:textId="77777777" w:rsidR="00615EC4" w:rsidRDefault="00615EC4" w:rsidP="00615EC4">
            <w:pPr>
              <w:pBdr>
                <w:top w:val="nil"/>
                <w:left w:val="nil"/>
                <w:bottom w:val="nil"/>
                <w:right w:val="nil"/>
                <w:between w:val="nil"/>
              </w:pBdr>
              <w:spacing w:before="0" w:after="0" w:line="276" w:lineRule="auto"/>
              <w:rPr>
                <w:rFonts w:eastAsia="Arial" w:cs="Arial"/>
                <w:color w:val="000000"/>
                <w:sz w:val="20"/>
                <w:szCs w:val="20"/>
              </w:rPr>
            </w:pPr>
            <w:r>
              <w:rPr>
                <w:rFonts w:eastAsia="Arial" w:cs="Arial"/>
                <w:b w:val="0"/>
                <w:color w:val="000000"/>
                <w:sz w:val="20"/>
                <w:szCs w:val="20"/>
              </w:rPr>
              <w:t>Large-scale (&gt;1MVA)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3FC407F" w14:textId="77777777" w:rsidR="00615EC4" w:rsidRDefault="00615EC4" w:rsidP="00615EC4">
            <w:pPr>
              <w:pBdr>
                <w:top w:val="nil"/>
                <w:left w:val="nil"/>
                <w:bottom w:val="nil"/>
                <w:right w:val="nil"/>
                <w:between w:val="nil"/>
              </w:pBdr>
              <w:spacing w:before="0" w:after="0" w:line="276"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Pr>
                <w:rFonts w:eastAsia="Arial" w:cs="Arial"/>
                <w:sz w:val="20"/>
                <w:szCs w:val="20"/>
              </w:rPr>
              <w:t>&gt;1MVA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3FC4080" w14:textId="77777777" w:rsidR="00615EC4" w:rsidRDefault="00615EC4" w:rsidP="00615EC4">
            <w:pPr>
              <w:pBdr>
                <w:top w:val="nil"/>
                <w:left w:val="nil"/>
                <w:bottom w:val="nil"/>
                <w:right w:val="nil"/>
                <w:between w:val="nil"/>
              </w:pBdr>
              <w:spacing w:before="0" w:after="0" w:line="276"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Pr>
                <w:rFonts w:eastAsia="Arial" w:cs="Arial"/>
                <w:sz w:val="20"/>
                <w:szCs w:val="20"/>
              </w:rPr>
              <w:t>LV or MV</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3FC4081" w14:textId="7B80452E" w:rsidR="00615EC4" w:rsidRPr="003F01EF" w:rsidRDefault="00615EC4" w:rsidP="00615EC4">
            <w:pPr>
              <w:pBdr>
                <w:top w:val="nil"/>
                <w:left w:val="nil"/>
                <w:bottom w:val="nil"/>
                <w:right w:val="nil"/>
                <w:between w:val="nil"/>
              </w:pBdr>
              <w:spacing w:before="0"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Pr>
                <w:rFonts w:ascii="Wingdings" w:eastAsia="Wingdings" w:hAnsi="Wingdings" w:cs="Wingdings"/>
                <w:sz w:val="40"/>
                <w:szCs w:val="40"/>
              </w:rPr>
              <w:sym w:font="Wingdings" w:char="F0FB"/>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FC4082" w14:textId="1AD2FF06" w:rsidR="00615EC4" w:rsidRDefault="00615EC4" w:rsidP="00615EC4">
            <w:pPr>
              <w:pBdr>
                <w:top w:val="nil"/>
                <w:left w:val="nil"/>
                <w:bottom w:val="nil"/>
                <w:right w:val="nil"/>
                <w:between w:val="nil"/>
              </w:pBd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eastAsia="Arial" w:cs="Arial"/>
                <w:sz w:val="40"/>
                <w:szCs w:val="40"/>
              </w:rPr>
            </w:pPr>
            <w:r>
              <w:rPr>
                <w:rFonts w:ascii="Wingdings" w:eastAsia="Wingdings" w:hAnsi="Wingdings" w:cs="Wingdings"/>
                <w:sz w:val="40"/>
                <w:szCs w:val="40"/>
              </w:rPr>
              <w:sym w:font="Wingdings" w:char="F0FC"/>
            </w:r>
          </w:p>
        </w:tc>
      </w:tr>
    </w:tbl>
    <w:p w14:paraId="43FC4084"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85"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Large generators and others requiring further grid studies, including all Independent Power Producers (IPPs), should obtain guidance from the municipality, such as:</w:t>
      </w:r>
    </w:p>
    <w:p w14:paraId="43FC4087" w14:textId="22D055D8" w:rsidR="009045EB" w:rsidRDefault="003E523C">
      <w:pPr>
        <w:numPr>
          <w:ilvl w:val="0"/>
          <w:numId w:val="11"/>
        </w:numPr>
        <w:pBdr>
          <w:top w:val="nil"/>
          <w:left w:val="nil"/>
          <w:bottom w:val="nil"/>
          <w:right w:val="nil"/>
          <w:between w:val="nil"/>
        </w:pBdr>
        <w:spacing w:line="276" w:lineRule="auto"/>
        <w:jc w:val="both"/>
        <w:rPr>
          <w:rFonts w:ascii="Arial" w:eastAsia="Arial" w:hAnsi="Arial" w:cs="Arial"/>
          <w:color w:val="000000"/>
          <w:szCs w:val="20"/>
        </w:rPr>
      </w:pPr>
      <w:r w:rsidRPr="003E523C">
        <w:rPr>
          <w:rFonts w:ascii="Arial" w:eastAsia="Arial" w:hAnsi="Arial" w:cs="Arial"/>
          <w:color w:val="000000"/>
          <w:szCs w:val="20"/>
        </w:rPr>
        <w:t xml:space="preserve">Guide for Municipalities on Processing Embedded Generator Applications 1 MW and Larger </w:t>
      </w:r>
      <w:r w:rsidR="0072593A">
        <w:rPr>
          <w:rFonts w:ascii="Arial" w:eastAsia="Arial" w:hAnsi="Arial" w:cs="Arial"/>
          <w:color w:val="000000"/>
          <w:szCs w:val="20"/>
        </w:rPr>
        <w:t>Grid Impact Study Specification Guide</w:t>
      </w:r>
    </w:p>
    <w:p w14:paraId="43FC4088" w14:textId="69391D2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Generic versions of the above guidance documentation is available at </w:t>
      </w:r>
      <w:hyperlink r:id="rId35">
        <w:r>
          <w:rPr>
            <w:rFonts w:ascii="Arial" w:eastAsia="Arial" w:hAnsi="Arial" w:cs="Arial"/>
            <w:color w:val="6B9F25"/>
            <w:szCs w:val="20"/>
            <w:u w:val="single"/>
          </w:rPr>
          <w:t>www.sseg.org.za</w:t>
        </w:r>
      </w:hyperlink>
      <w:r>
        <w:rPr>
          <w:rFonts w:ascii="Arial" w:eastAsia="Arial" w:hAnsi="Arial" w:cs="Arial"/>
          <w:color w:val="000000"/>
          <w:szCs w:val="20"/>
        </w:rPr>
        <w:t>.</w:t>
      </w:r>
    </w:p>
    <w:p w14:paraId="43FC4089"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8A"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8B" w14:textId="77777777" w:rsidR="009045EB" w:rsidRDefault="0072593A">
      <w:pPr>
        <w:pStyle w:val="Heading1"/>
        <w:numPr>
          <w:ilvl w:val="0"/>
          <w:numId w:val="12"/>
        </w:numPr>
        <w:rPr>
          <w:rFonts w:ascii="Arial" w:eastAsia="Arial" w:hAnsi="Arial" w:cs="Arial"/>
          <w:color w:val="1E2B44"/>
        </w:rPr>
      </w:pPr>
      <w:bookmarkStart w:id="8" w:name="_Toc128033206"/>
      <w:r>
        <w:rPr>
          <w:rFonts w:ascii="Arial" w:eastAsia="Arial" w:hAnsi="Arial" w:cs="Arial"/>
          <w:color w:val="1E2B44"/>
        </w:rPr>
        <w:lastRenderedPageBreak/>
        <w:t>Indemnity, Legal Requirements &amp; Curtailment</w:t>
      </w:r>
      <w:bookmarkEnd w:id="8"/>
    </w:p>
    <w:p w14:paraId="43FC408C" w14:textId="77777777" w:rsidR="009045EB" w:rsidRDefault="0072593A">
      <w:pPr>
        <w:pStyle w:val="Heading2"/>
        <w:numPr>
          <w:ilvl w:val="1"/>
          <w:numId w:val="12"/>
        </w:numPr>
      </w:pPr>
      <w:bookmarkStart w:id="9" w:name="_Toc128033207"/>
      <w:r>
        <w:t>Legal and Illegal Connections to the municipal electrical network</w:t>
      </w:r>
      <w:bookmarkEnd w:id="9"/>
    </w:p>
    <w:p w14:paraId="43FC408D"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Customers wishing to connect SSEGs to the municipal electrical network are required to follow the normal application procedure as detailed in this document and comply with the regulations, specifications and standards listed herein.</w:t>
      </w:r>
    </w:p>
    <w:p w14:paraId="43FC408E"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8F"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Municipality’s Electricity Supply By-Law (as promulgated) and national regulations state that </w:t>
      </w:r>
      <w:r w:rsidRPr="00930052">
        <w:rPr>
          <w:rFonts w:ascii="Arial" w:eastAsia="Arial" w:hAnsi="Arial" w:cs="Arial"/>
          <w:color w:val="000000"/>
          <w:szCs w:val="20"/>
          <w:u w:val="single"/>
        </w:rPr>
        <w:t>no electrical generation equipment may be connected to the municipal electrical network without the express consent of the Municipal Electricity Distributo</w:t>
      </w:r>
      <w:r>
        <w:rPr>
          <w:rFonts w:ascii="Arial" w:eastAsia="Arial" w:hAnsi="Arial" w:cs="Arial"/>
          <w:color w:val="000000"/>
          <w:szCs w:val="20"/>
        </w:rPr>
        <w:t xml:space="preserve">r. </w:t>
      </w:r>
    </w:p>
    <w:p w14:paraId="43FC4090"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91"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Failure to obtain this consent constitutes an offence which could lead to a fine and/or imprisonment. </w:t>
      </w:r>
    </w:p>
    <w:p w14:paraId="43FC4092"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Furthermore, the installation may also be in contravention of the Occupational Health and Safety Act (1993), for which punitive sanctions also apply. </w:t>
      </w:r>
    </w:p>
    <w:p w14:paraId="43FC4093"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94"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Customers found to have illegally connected an SSEG installation to the municipal electrical network (either before or after their electricity meter) shall be </w:t>
      </w:r>
      <w:r>
        <w:rPr>
          <w:rFonts w:ascii="Arial" w:eastAsia="Arial" w:hAnsi="Arial" w:cs="Arial"/>
          <w:color w:val="000000"/>
          <w:szCs w:val="20"/>
          <w:u w:val="single"/>
        </w:rPr>
        <w:t>instructed to have the installation disconnected</w:t>
      </w:r>
      <w:r>
        <w:rPr>
          <w:rFonts w:ascii="Arial" w:eastAsia="Arial" w:hAnsi="Arial" w:cs="Arial"/>
          <w:color w:val="000000"/>
          <w:szCs w:val="20"/>
        </w:rPr>
        <w:t xml:space="preserve"> from the municipal electrical network. Should the customer fail to have the SSEG disconnected from the municipal electrical network, the Municipality will </w:t>
      </w:r>
      <w:r w:rsidRPr="007E1E3B">
        <w:rPr>
          <w:rFonts w:ascii="Arial" w:eastAsia="Arial" w:hAnsi="Arial" w:cs="Arial"/>
          <w:color w:val="000000"/>
          <w:szCs w:val="20"/>
          <w:u w:val="single"/>
        </w:rPr>
        <w:t>disconnect the electricity supply</w:t>
      </w:r>
      <w:r>
        <w:rPr>
          <w:rFonts w:ascii="Arial" w:eastAsia="Arial" w:hAnsi="Arial" w:cs="Arial"/>
          <w:color w:val="000000"/>
          <w:szCs w:val="20"/>
        </w:rPr>
        <w:t xml:space="preserve"> to the property. </w:t>
      </w:r>
    </w:p>
    <w:p w14:paraId="43FC4095"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96"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In cases where unauthorised reverse feed-in takes place which results in the meter reversing to the benefit of the customer, the municipality may institute action to recover lost revenue and relevant punitive fines will be applicable. </w:t>
      </w:r>
    </w:p>
    <w:p w14:paraId="43FC4097"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98" w14:textId="77777777" w:rsidR="009045EB" w:rsidRDefault="0072593A">
      <w:p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u w:val="single"/>
        </w:rPr>
        <w:t>No exemption</w:t>
      </w:r>
      <w:r>
        <w:rPr>
          <w:rFonts w:ascii="Arial" w:eastAsia="Arial" w:hAnsi="Arial" w:cs="Arial"/>
          <w:color w:val="000000"/>
          <w:szCs w:val="20"/>
        </w:rPr>
        <w:t xml:space="preserve"> from any of the Municipality’s requirements shall be granted for </w:t>
      </w:r>
      <w:r>
        <w:rPr>
          <w:rFonts w:ascii="Arial" w:eastAsia="Arial" w:hAnsi="Arial" w:cs="Arial"/>
          <w:color w:val="000000"/>
          <w:szCs w:val="20"/>
          <w:u w:val="single"/>
        </w:rPr>
        <w:t>“retrospective applications</w:t>
      </w:r>
      <w:r>
        <w:rPr>
          <w:rFonts w:ascii="Arial" w:eastAsia="Arial" w:hAnsi="Arial" w:cs="Arial"/>
          <w:color w:val="000000"/>
          <w:szCs w:val="20"/>
        </w:rPr>
        <w:t>”.</w:t>
      </w:r>
    </w:p>
    <w:p w14:paraId="43FC4099" w14:textId="77777777" w:rsidR="009045EB" w:rsidRDefault="0072593A">
      <w:pPr>
        <w:pStyle w:val="Heading2"/>
        <w:numPr>
          <w:ilvl w:val="1"/>
          <w:numId w:val="12"/>
        </w:numPr>
      </w:pPr>
      <w:bookmarkStart w:id="10" w:name="_Toc128033208"/>
      <w:r>
        <w:t>Generation Curtailment</w:t>
      </w:r>
      <w:bookmarkEnd w:id="10"/>
      <w:r>
        <w:t xml:space="preserve"> </w:t>
      </w:r>
    </w:p>
    <w:p w14:paraId="43FC409A"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In the event of operating conditions resulting in municipal electrical network parameters not meeting statutory minimum quality-of-supply standards</w:t>
      </w:r>
      <w:r>
        <w:rPr>
          <w:rFonts w:ascii="Arial" w:eastAsia="Arial" w:hAnsi="Arial" w:cs="Arial"/>
          <w:color w:val="000000"/>
          <w:szCs w:val="20"/>
          <w:u w:val="single"/>
        </w:rPr>
        <w:t xml:space="preserve"> it may become necessary to impose peak generation limits on embedded generator</w:t>
      </w:r>
      <w:r>
        <w:rPr>
          <w:rFonts w:ascii="Arial" w:eastAsia="Arial" w:hAnsi="Arial" w:cs="Arial"/>
          <w:color w:val="000000"/>
          <w:szCs w:val="20"/>
        </w:rPr>
        <w:t xml:space="preserve"> installations. It is expected that these limitations would be of a temporary nature, applied only during abnormal system conditions or low load periods.</w:t>
      </w:r>
    </w:p>
    <w:p w14:paraId="43FC409B" w14:textId="77777777" w:rsidR="009045EB" w:rsidRDefault="0072593A">
      <w:pPr>
        <w:pStyle w:val="Heading2"/>
        <w:numPr>
          <w:ilvl w:val="1"/>
          <w:numId w:val="12"/>
        </w:numPr>
      </w:pPr>
      <w:bookmarkStart w:id="11" w:name="_Toc128033209"/>
      <w:r>
        <w:t>Right to adapt rules &amp; regulations</w:t>
      </w:r>
      <w:bookmarkEnd w:id="11"/>
      <w:r>
        <w:t xml:space="preserve"> </w:t>
      </w:r>
    </w:p>
    <w:p w14:paraId="43FC409C"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In the event of provincial or national legislative changes to the regulatory environment, or other technical developments, it </w:t>
      </w:r>
      <w:r>
        <w:rPr>
          <w:rFonts w:ascii="Arial" w:eastAsia="Arial" w:hAnsi="Arial" w:cs="Arial"/>
          <w:color w:val="000000"/>
          <w:szCs w:val="20"/>
          <w:u w:val="single"/>
        </w:rPr>
        <w:t>may become necessary to implement changes</w:t>
      </w:r>
      <w:r>
        <w:rPr>
          <w:rFonts w:ascii="Arial" w:eastAsia="Arial" w:hAnsi="Arial" w:cs="Arial"/>
          <w:color w:val="000000"/>
          <w:szCs w:val="20"/>
        </w:rPr>
        <w:t xml:space="preserve"> to the municipal requirements which SSEGs are to comply with. The </w:t>
      </w:r>
      <w:r>
        <w:rPr>
          <w:rFonts w:ascii="Arial" w:eastAsia="Arial" w:hAnsi="Arial" w:cs="Arial"/>
          <w:color w:val="000000"/>
          <w:szCs w:val="20"/>
          <w:u w:val="single"/>
        </w:rPr>
        <w:t>Municipality will take into account the implications for existing customers of such changes, and will require these only where grid safety or other important criteria are potentially compromised. All SSEGs, new and existing, will be obliged</w:t>
      </w:r>
      <w:r>
        <w:rPr>
          <w:rFonts w:ascii="Arial" w:eastAsia="Arial" w:hAnsi="Arial" w:cs="Arial"/>
          <w:color w:val="000000"/>
          <w:szCs w:val="20"/>
        </w:rPr>
        <w:t xml:space="preserve"> to comply with such changes, and will do so at their own cost.</w:t>
      </w:r>
    </w:p>
    <w:p w14:paraId="43FC409D" w14:textId="77777777" w:rsidR="009045EB" w:rsidRDefault="0072593A">
      <w:pPr>
        <w:pStyle w:val="Heading2"/>
        <w:numPr>
          <w:ilvl w:val="1"/>
          <w:numId w:val="12"/>
        </w:numPr>
      </w:pPr>
      <w:bookmarkStart w:id="12" w:name="_Toc128033210"/>
      <w:r>
        <w:t>Right to deny access</w:t>
      </w:r>
      <w:bookmarkEnd w:id="12"/>
    </w:p>
    <w:p w14:paraId="43FC409E"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On receipt of a complete application for an SSEG installation, the Municipality needs to check that, amongst other considerations, the SSEG installation can be accommodated on the municipal electrical network and that the total SSEG capacity of the municipal electrical network has not been exceeded, considering parameters in the NRS097-2-3 and other applicable standards. </w:t>
      </w:r>
      <w:r>
        <w:rPr>
          <w:rFonts w:ascii="Arial" w:eastAsia="Arial" w:hAnsi="Arial" w:cs="Arial"/>
          <w:color w:val="000000"/>
          <w:szCs w:val="20"/>
          <w:u w:val="single"/>
        </w:rPr>
        <w:t>Equipment should not be purchased</w:t>
      </w:r>
      <w:r>
        <w:rPr>
          <w:rFonts w:ascii="Arial" w:eastAsia="Arial" w:hAnsi="Arial" w:cs="Arial"/>
          <w:color w:val="000000"/>
          <w:szCs w:val="20"/>
        </w:rPr>
        <w:t xml:space="preserve"> prior to obtaining written approval from the Municipality to commence, as </w:t>
      </w:r>
      <w:r>
        <w:rPr>
          <w:rFonts w:ascii="Arial" w:eastAsia="Arial" w:hAnsi="Arial" w:cs="Arial"/>
          <w:color w:val="000000"/>
          <w:szCs w:val="20"/>
          <w:u w:val="single"/>
        </w:rPr>
        <w:t>approval of the SSEG as proposed by the applicant is not guaranteed</w:t>
      </w:r>
      <w:r>
        <w:rPr>
          <w:rFonts w:ascii="Arial" w:eastAsia="Arial" w:hAnsi="Arial" w:cs="Arial"/>
          <w:color w:val="000000"/>
          <w:szCs w:val="20"/>
        </w:rPr>
        <w:t xml:space="preserve"> and the Municipality shall not be held liable for equipment expenses in such cases. </w:t>
      </w:r>
    </w:p>
    <w:p w14:paraId="43FC409F" w14:textId="77777777" w:rsidR="009045EB" w:rsidRDefault="0072593A">
      <w:pPr>
        <w:pStyle w:val="Heading2"/>
        <w:numPr>
          <w:ilvl w:val="1"/>
          <w:numId w:val="12"/>
        </w:numPr>
      </w:pPr>
      <w:bookmarkStart w:id="13" w:name="_Toc128033211"/>
      <w:r>
        <w:lastRenderedPageBreak/>
        <w:t>Unsuccessful applications</w:t>
      </w:r>
      <w:bookmarkEnd w:id="13"/>
    </w:p>
    <w:p w14:paraId="43FC40A0" w14:textId="6FDB3AC2"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Where proposed SSEG systems are </w:t>
      </w:r>
      <w:r>
        <w:rPr>
          <w:rFonts w:ascii="Arial" w:eastAsia="Arial" w:hAnsi="Arial" w:cs="Arial"/>
          <w:color w:val="000000"/>
          <w:szCs w:val="20"/>
          <w:u w:val="single"/>
        </w:rPr>
        <w:t>not approved</w:t>
      </w:r>
      <w:r>
        <w:rPr>
          <w:rFonts w:ascii="Arial" w:eastAsia="Arial" w:hAnsi="Arial" w:cs="Arial"/>
          <w:color w:val="000000"/>
          <w:szCs w:val="20"/>
        </w:rPr>
        <w:t xml:space="preserve"> by the Municipality, the Municipality will </w:t>
      </w:r>
      <w:r>
        <w:rPr>
          <w:rFonts w:ascii="Arial" w:eastAsia="Arial" w:hAnsi="Arial" w:cs="Arial"/>
          <w:color w:val="000000"/>
          <w:szCs w:val="20"/>
          <w:u w:val="single"/>
        </w:rPr>
        <w:t>provide information to the customer on amendments to the proposed system</w:t>
      </w:r>
      <w:r>
        <w:rPr>
          <w:rFonts w:ascii="Arial" w:eastAsia="Arial" w:hAnsi="Arial" w:cs="Arial"/>
          <w:color w:val="000000"/>
          <w:szCs w:val="20"/>
        </w:rPr>
        <w:t xml:space="preserve"> required, and/or advise on conditions to be met, for it to be acceptable to the Municipality.</w:t>
      </w:r>
    </w:p>
    <w:p w14:paraId="480A5953" w14:textId="523858DB" w:rsidR="00990C49" w:rsidRDefault="00990C49" w:rsidP="00990C49">
      <w:pPr>
        <w:pStyle w:val="Heading2"/>
        <w:numPr>
          <w:ilvl w:val="1"/>
          <w:numId w:val="12"/>
        </w:numPr>
      </w:pPr>
      <w:bookmarkStart w:id="14" w:name="_Toc128033212"/>
      <w:r>
        <w:t>Application processing timeframes</w:t>
      </w:r>
      <w:bookmarkEnd w:id="14"/>
    </w:p>
    <w:p w14:paraId="721FB655" w14:textId="770A1012" w:rsidR="00990C49" w:rsidRPr="00EE0D63" w:rsidRDefault="00990C49" w:rsidP="00990C49">
      <w:pPr>
        <w:pStyle w:val="BodyText"/>
        <w:rPr>
          <w:rFonts w:ascii="Arial" w:hAnsi="Arial" w:cs="Arial"/>
          <w:lang w:val="en-GB"/>
        </w:rPr>
      </w:pPr>
      <w:r w:rsidRPr="00EE0D63">
        <w:rPr>
          <w:rFonts w:ascii="Arial" w:hAnsi="Arial" w:cs="Arial"/>
          <w:lang w:val="en-GB"/>
        </w:rPr>
        <w:t xml:space="preserve">The Municipality will </w:t>
      </w:r>
      <w:r w:rsidR="00404A01" w:rsidRPr="00EE0D63">
        <w:rPr>
          <w:rFonts w:ascii="Arial" w:hAnsi="Arial" w:cs="Arial"/>
          <w:lang w:val="en-GB"/>
        </w:rPr>
        <w:t xml:space="preserve">aim to assess applications for SSEG submitted </w:t>
      </w:r>
      <w:r w:rsidR="00D73077" w:rsidRPr="00EE0D63">
        <w:rPr>
          <w:rFonts w:ascii="Arial" w:hAnsi="Arial" w:cs="Arial"/>
          <w:lang w:val="en-GB"/>
        </w:rPr>
        <w:t xml:space="preserve">and </w:t>
      </w:r>
      <w:r w:rsidR="00D73077" w:rsidRPr="00DD5D33">
        <w:rPr>
          <w:rFonts w:ascii="Arial" w:hAnsi="Arial" w:cs="Arial"/>
          <w:lang w:val="en-GB"/>
        </w:rPr>
        <w:t xml:space="preserve">respond to applicants </w:t>
      </w:r>
      <w:r w:rsidR="00404A01" w:rsidRPr="00DD5D33">
        <w:rPr>
          <w:rFonts w:ascii="Arial" w:hAnsi="Arial" w:cs="Arial"/>
          <w:lang w:val="en-GB"/>
        </w:rPr>
        <w:t>within 20 working days</w:t>
      </w:r>
      <w:r w:rsidR="00F01B80" w:rsidRPr="00DD5D33">
        <w:rPr>
          <w:rFonts w:ascii="Arial" w:hAnsi="Arial" w:cs="Arial"/>
          <w:lang w:val="en-GB"/>
        </w:rPr>
        <w:t>.</w:t>
      </w:r>
      <w:r w:rsidR="00F01B80" w:rsidRPr="00EE0D63">
        <w:rPr>
          <w:rFonts w:ascii="Arial" w:hAnsi="Arial" w:cs="Arial"/>
          <w:lang w:val="en-GB"/>
        </w:rPr>
        <w:t xml:space="preserve"> Where applications</w:t>
      </w:r>
      <w:r w:rsidR="00D73077" w:rsidRPr="00EE0D63">
        <w:rPr>
          <w:rFonts w:ascii="Arial" w:hAnsi="Arial" w:cs="Arial"/>
          <w:lang w:val="en-GB"/>
        </w:rPr>
        <w:t xml:space="preserve"> are more complex </w:t>
      </w:r>
      <w:r w:rsidR="00EE0D63" w:rsidRPr="00EE0D63">
        <w:rPr>
          <w:rFonts w:ascii="Arial" w:hAnsi="Arial" w:cs="Arial"/>
          <w:lang w:val="en-GB"/>
        </w:rPr>
        <w:t xml:space="preserve">leading to delays </w:t>
      </w:r>
      <w:r w:rsidR="00D73077" w:rsidRPr="00EE0D63">
        <w:rPr>
          <w:rFonts w:ascii="Arial" w:hAnsi="Arial" w:cs="Arial"/>
          <w:lang w:val="en-GB"/>
        </w:rPr>
        <w:t>or require further studies</w:t>
      </w:r>
      <w:r w:rsidR="00EE0D63" w:rsidRPr="00EE0D63">
        <w:rPr>
          <w:rFonts w:ascii="Arial" w:hAnsi="Arial" w:cs="Arial"/>
          <w:lang w:val="en-GB"/>
        </w:rPr>
        <w:t xml:space="preserve">, customers will be notified </w:t>
      </w:r>
      <w:r w:rsidR="004D221E">
        <w:rPr>
          <w:rFonts w:ascii="Arial" w:hAnsi="Arial" w:cs="Arial"/>
          <w:lang w:val="en-GB"/>
        </w:rPr>
        <w:t xml:space="preserve">accordingly </w:t>
      </w:r>
      <w:r w:rsidR="00EE0D63" w:rsidRPr="00EE0D63">
        <w:rPr>
          <w:rFonts w:ascii="Arial" w:hAnsi="Arial" w:cs="Arial"/>
          <w:lang w:val="en-GB"/>
        </w:rPr>
        <w:t>within this timeframe.</w:t>
      </w:r>
      <w:r w:rsidR="00F01B80" w:rsidRPr="00EE0D63">
        <w:rPr>
          <w:rFonts w:ascii="Arial" w:hAnsi="Arial" w:cs="Arial"/>
          <w:lang w:val="en-GB"/>
        </w:rPr>
        <w:t xml:space="preserve"> </w:t>
      </w:r>
    </w:p>
    <w:p w14:paraId="3E95D5E8" w14:textId="486A2744" w:rsidR="00885F3F" w:rsidRDefault="00885F3F" w:rsidP="00885F3F">
      <w:pPr>
        <w:pStyle w:val="Heading2"/>
        <w:numPr>
          <w:ilvl w:val="1"/>
          <w:numId w:val="12"/>
        </w:numPr>
      </w:pPr>
      <w:bookmarkStart w:id="15" w:name="_Toc128033213"/>
      <w:r>
        <w:t>Recourse</w:t>
      </w:r>
      <w:r w:rsidR="00EB006D">
        <w:t xml:space="preserve"> for the customer</w:t>
      </w:r>
      <w:bookmarkEnd w:id="15"/>
    </w:p>
    <w:p w14:paraId="2219D4C2" w14:textId="0EE93F24" w:rsidR="00885F3F" w:rsidRPr="003D27E5" w:rsidRDefault="00EB006D" w:rsidP="00885F3F">
      <w:pPr>
        <w:pStyle w:val="BodyText"/>
        <w:rPr>
          <w:rFonts w:ascii="Arial" w:hAnsi="Arial" w:cs="Arial"/>
          <w:lang w:val="en-GB"/>
        </w:rPr>
      </w:pPr>
      <w:r w:rsidRPr="003D27E5">
        <w:rPr>
          <w:rFonts w:ascii="Arial" w:hAnsi="Arial" w:cs="Arial"/>
          <w:lang w:val="en-GB"/>
        </w:rPr>
        <w:t xml:space="preserve">Where the Customer feels they have been unfairly dealt with </w:t>
      </w:r>
      <w:r w:rsidR="003D27E5" w:rsidRPr="003D27E5">
        <w:rPr>
          <w:rFonts w:ascii="Arial" w:hAnsi="Arial" w:cs="Arial"/>
          <w:lang w:val="en-GB"/>
        </w:rPr>
        <w:t>by the Municipality, they should address their complaint to the Municipality in writing, or failing a suitable response, they may submit their complaint to NERSA in writing.</w:t>
      </w:r>
    </w:p>
    <w:p w14:paraId="43FC40A1" w14:textId="77777777" w:rsidR="009045EB" w:rsidRDefault="0072593A">
      <w:pPr>
        <w:pStyle w:val="Heading2"/>
        <w:numPr>
          <w:ilvl w:val="1"/>
          <w:numId w:val="12"/>
        </w:numPr>
      </w:pPr>
      <w:bookmarkStart w:id="16" w:name="_Toc128033214"/>
      <w:r>
        <w:t>Contract with the municipality</w:t>
      </w:r>
      <w:bookmarkEnd w:id="16"/>
    </w:p>
    <w:p w14:paraId="43FC40A2" w14:textId="7C04841F"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All SSEG customers are required to enter into an SSEG contract with the municipality. </w:t>
      </w:r>
      <w:r w:rsidRPr="00DD5D33">
        <w:rPr>
          <w:rFonts w:ascii="Arial" w:eastAsia="Arial" w:hAnsi="Arial" w:cs="Arial"/>
          <w:color w:val="000000"/>
          <w:szCs w:val="20"/>
        </w:rPr>
        <w:t xml:space="preserve">The document </w:t>
      </w:r>
      <w:r w:rsidRPr="00DD5D33">
        <w:rPr>
          <w:rFonts w:ascii="Arial" w:eastAsia="Arial" w:hAnsi="Arial" w:cs="Arial"/>
          <w:b/>
          <w:i/>
          <w:color w:val="000000"/>
          <w:szCs w:val="20"/>
        </w:rPr>
        <w:t>General Terms and Conditions: Contract for Connection of an Embedded Generator</w:t>
      </w:r>
      <w:r w:rsidRPr="00DD5D33">
        <w:rPr>
          <w:rFonts w:ascii="Arial" w:eastAsia="Arial" w:hAnsi="Arial" w:cs="Arial"/>
          <w:b/>
          <w:color w:val="000000"/>
          <w:szCs w:val="20"/>
        </w:rPr>
        <w:t xml:space="preserve"> </w:t>
      </w:r>
      <w:r w:rsidRPr="00DD5D33">
        <w:rPr>
          <w:rFonts w:ascii="Arial" w:eastAsia="Arial" w:hAnsi="Arial" w:cs="Arial"/>
          <w:color w:val="000000"/>
          <w:szCs w:val="20"/>
        </w:rPr>
        <w:t xml:space="preserve">is available on the municipal website or from municipal </w:t>
      </w:r>
      <w:r w:rsidR="00DD5D33">
        <w:rPr>
          <w:rFonts w:ascii="Arial" w:eastAsia="Arial" w:hAnsi="Arial" w:cs="Arial"/>
          <w:color w:val="000000"/>
          <w:szCs w:val="20"/>
        </w:rPr>
        <w:t xml:space="preserve">Energy office at the Engineers </w:t>
      </w:r>
      <w:r w:rsidR="00780EE4">
        <w:rPr>
          <w:rFonts w:ascii="Arial" w:eastAsia="Arial" w:hAnsi="Arial" w:cs="Arial"/>
          <w:color w:val="000000"/>
          <w:szCs w:val="20"/>
        </w:rPr>
        <w:t xml:space="preserve">department. </w:t>
      </w:r>
      <w:r w:rsidRPr="00DD5D33">
        <w:rPr>
          <w:rFonts w:ascii="Arial" w:eastAsia="Arial" w:hAnsi="Arial" w:cs="Arial"/>
          <w:color w:val="000000"/>
          <w:szCs w:val="20"/>
          <w:u w:val="single"/>
        </w:rPr>
        <w:t>In signing the SSEG Application Form, the customer agrees to be bound by the terms and conditions</w:t>
      </w:r>
      <w:r w:rsidRPr="00DD5D33">
        <w:rPr>
          <w:rFonts w:ascii="Arial" w:eastAsia="Arial" w:hAnsi="Arial" w:cs="Arial"/>
          <w:color w:val="000000"/>
          <w:szCs w:val="20"/>
        </w:rPr>
        <w:t xml:space="preserve"> in this document.</w:t>
      </w:r>
    </w:p>
    <w:p w14:paraId="43FC40A3" w14:textId="77777777" w:rsidR="009045EB" w:rsidRDefault="0072593A">
      <w:pPr>
        <w:pStyle w:val="Heading2"/>
        <w:numPr>
          <w:ilvl w:val="1"/>
          <w:numId w:val="12"/>
        </w:numPr>
      </w:pPr>
      <w:bookmarkStart w:id="17" w:name="_Toc128033215"/>
      <w:r>
        <w:t>Transfer/change of ownership</w:t>
      </w:r>
      <w:bookmarkEnd w:id="17"/>
      <w:r>
        <w:t xml:space="preserve"> </w:t>
      </w:r>
    </w:p>
    <w:p w14:paraId="43FC40A4" w14:textId="0D0BD5EE"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If a transfer of the property and/or change of ownership of the electricity accountholder takes place, the new owner needs to </w:t>
      </w:r>
      <w:r>
        <w:rPr>
          <w:rFonts w:ascii="Arial" w:eastAsia="Arial" w:hAnsi="Arial" w:cs="Arial"/>
          <w:color w:val="000000"/>
          <w:szCs w:val="20"/>
          <w:u w:val="single"/>
        </w:rPr>
        <w:t>sign the declaration</w:t>
      </w:r>
      <w:r>
        <w:rPr>
          <w:rFonts w:ascii="Arial" w:eastAsia="Arial" w:hAnsi="Arial" w:cs="Arial"/>
          <w:color w:val="000000"/>
          <w:szCs w:val="20"/>
        </w:rPr>
        <w:t xml:space="preserve"> in Annex B, wh</w:t>
      </w:r>
      <w:r w:rsidR="00D96F82">
        <w:rPr>
          <w:rFonts w:ascii="Arial" w:eastAsia="Arial" w:hAnsi="Arial" w:cs="Arial"/>
          <w:color w:val="000000"/>
          <w:szCs w:val="20"/>
        </w:rPr>
        <w:t>ich must be submitted to the Energy office</w:t>
      </w:r>
      <w:r>
        <w:rPr>
          <w:rFonts w:ascii="Arial" w:eastAsia="Arial" w:hAnsi="Arial" w:cs="Arial"/>
          <w:color w:val="000000"/>
          <w:szCs w:val="20"/>
        </w:rPr>
        <w:t>.</w:t>
      </w:r>
    </w:p>
    <w:p w14:paraId="43FC40A5"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A6" w14:textId="1B468700"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Alternatively the SSEG installation shall be decommissioned as set out in paragraph </w:t>
      </w:r>
      <w:r w:rsidR="009E2F00">
        <w:rPr>
          <w:rFonts w:ascii="Arial" w:eastAsia="Arial" w:hAnsi="Arial" w:cs="Arial"/>
          <w:color w:val="000000"/>
          <w:szCs w:val="20"/>
        </w:rPr>
        <w:fldChar w:fldCharType="begin"/>
      </w:r>
      <w:r w:rsidR="009E2F00">
        <w:rPr>
          <w:rFonts w:ascii="Arial" w:eastAsia="Arial" w:hAnsi="Arial" w:cs="Arial"/>
          <w:color w:val="000000"/>
          <w:szCs w:val="20"/>
        </w:rPr>
        <w:instrText xml:space="preserve"> REF _Ref126600593 \r \h </w:instrText>
      </w:r>
      <w:r w:rsidR="009E2F00">
        <w:rPr>
          <w:rFonts w:ascii="Arial" w:eastAsia="Arial" w:hAnsi="Arial" w:cs="Arial"/>
          <w:color w:val="000000"/>
          <w:szCs w:val="20"/>
        </w:rPr>
      </w:r>
      <w:r w:rsidR="009E2F00">
        <w:rPr>
          <w:rFonts w:ascii="Arial" w:eastAsia="Arial" w:hAnsi="Arial" w:cs="Arial"/>
          <w:color w:val="000000"/>
          <w:szCs w:val="20"/>
        </w:rPr>
        <w:fldChar w:fldCharType="separate"/>
      </w:r>
      <w:r w:rsidR="0029084E">
        <w:rPr>
          <w:rFonts w:ascii="Arial" w:eastAsia="Arial" w:hAnsi="Arial" w:cs="Arial"/>
          <w:color w:val="000000"/>
          <w:szCs w:val="20"/>
        </w:rPr>
        <w:t>3.14</w:t>
      </w:r>
      <w:r w:rsidR="009E2F00">
        <w:rPr>
          <w:rFonts w:ascii="Arial" w:eastAsia="Arial" w:hAnsi="Arial" w:cs="Arial"/>
          <w:color w:val="000000"/>
          <w:szCs w:val="20"/>
        </w:rPr>
        <w:fldChar w:fldCharType="end"/>
      </w:r>
      <w:r>
        <w:rPr>
          <w:rFonts w:ascii="Arial" w:eastAsia="Arial" w:hAnsi="Arial" w:cs="Arial"/>
          <w:color w:val="000000"/>
          <w:szCs w:val="20"/>
        </w:rPr>
        <w:t>.</w:t>
      </w:r>
    </w:p>
    <w:p w14:paraId="43FC40A7" w14:textId="77777777" w:rsidR="009045EB" w:rsidRDefault="0072593A">
      <w:pPr>
        <w:spacing w:line="276" w:lineRule="auto"/>
        <w:rPr>
          <w:rFonts w:ascii="Arial" w:eastAsia="Arial" w:hAnsi="Arial" w:cs="Arial"/>
          <w:color w:val="000000"/>
        </w:rPr>
      </w:pPr>
      <w:r>
        <w:br w:type="page"/>
      </w:r>
    </w:p>
    <w:p w14:paraId="43FC40A8"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A9" w14:textId="77777777" w:rsidR="009045EB" w:rsidRDefault="0072593A">
      <w:pPr>
        <w:pStyle w:val="Heading1"/>
        <w:numPr>
          <w:ilvl w:val="0"/>
          <w:numId w:val="12"/>
        </w:numPr>
        <w:rPr>
          <w:color w:val="262626"/>
        </w:rPr>
      </w:pPr>
      <w:bookmarkStart w:id="18" w:name="_Toc128033216"/>
      <w:r>
        <w:rPr>
          <w:color w:val="262626"/>
        </w:rPr>
        <w:t>General Guidelines - Small Scale Embedded Generators</w:t>
      </w:r>
      <w:bookmarkEnd w:id="18"/>
    </w:p>
    <w:p w14:paraId="43FC40AA"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This section covers important considerations in terms of the Municipality’s SSEG rules and regulations that apply to all customers, including residential, commercial and industrial customers, who wish to connect an SSEG system. </w:t>
      </w:r>
    </w:p>
    <w:p w14:paraId="43FC40AB"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AC" w14:textId="36520D37" w:rsidR="009045EB" w:rsidRDefault="0072593A">
      <w:pPr>
        <w:pStyle w:val="Heading2"/>
        <w:numPr>
          <w:ilvl w:val="1"/>
          <w:numId w:val="12"/>
        </w:numPr>
      </w:pPr>
      <w:bookmarkStart w:id="19" w:name="_Toc128033217"/>
      <w:r>
        <w:t>Registration or Generation licence</w:t>
      </w:r>
      <w:bookmarkEnd w:id="19"/>
    </w:p>
    <w:p w14:paraId="43FC40AD" w14:textId="6F2FEB8A"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In terms of the Electricity Regulation Act (2006), any person that owns or operates a generation facility is required to obtain a generation licence to be issued by NERSA unless otherwise exempt as per Schedule 2 </w:t>
      </w:r>
      <w:r w:rsidR="009173BB">
        <w:rPr>
          <w:rFonts w:ascii="Arial" w:eastAsia="Arial" w:hAnsi="Arial" w:cs="Arial"/>
          <w:color w:val="000000"/>
          <w:szCs w:val="20"/>
        </w:rPr>
        <w:t>of</w:t>
      </w:r>
      <w:r>
        <w:rPr>
          <w:rFonts w:ascii="Arial" w:eastAsia="Arial" w:hAnsi="Arial" w:cs="Arial"/>
          <w:color w:val="000000"/>
          <w:szCs w:val="20"/>
        </w:rPr>
        <w:t xml:space="preserve"> the Act. Table 2</w:t>
      </w:r>
      <w:r w:rsidR="00294E20">
        <w:rPr>
          <w:rFonts w:ascii="Arial" w:eastAsia="Arial" w:hAnsi="Arial" w:cs="Arial"/>
          <w:color w:val="000000"/>
          <w:szCs w:val="20"/>
        </w:rPr>
        <w:t xml:space="preserve"> clarifies</w:t>
      </w:r>
      <w:r w:rsidR="006F5763">
        <w:rPr>
          <w:rFonts w:ascii="Arial" w:eastAsia="Arial" w:hAnsi="Arial" w:cs="Arial"/>
          <w:color w:val="000000"/>
          <w:szCs w:val="20"/>
        </w:rPr>
        <w:t xml:space="preserve"> NERSA license and registration requirements</w:t>
      </w:r>
      <w:r>
        <w:rPr>
          <w:rFonts w:ascii="Arial" w:eastAsia="Arial" w:hAnsi="Arial" w:cs="Arial"/>
          <w:color w:val="000000"/>
          <w:szCs w:val="20"/>
        </w:rPr>
        <w:t>.</w:t>
      </w:r>
    </w:p>
    <w:p w14:paraId="43FC40AE" w14:textId="44FE97AB"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AF" w14:textId="2B712476" w:rsidR="009045EB" w:rsidRDefault="0072593A">
      <w:pPr>
        <w:keepNext/>
        <w:pBdr>
          <w:top w:val="nil"/>
          <w:left w:val="nil"/>
          <w:bottom w:val="nil"/>
          <w:right w:val="nil"/>
          <w:between w:val="nil"/>
        </w:pBdr>
        <w:spacing w:before="120" w:after="120"/>
        <w:ind w:left="357" w:hanging="357"/>
        <w:rPr>
          <w:rFonts w:ascii="Arial" w:eastAsia="Arial" w:hAnsi="Arial" w:cs="Arial"/>
          <w:i/>
          <w:color w:val="75B5E4"/>
          <w:szCs w:val="20"/>
        </w:rPr>
      </w:pPr>
      <w:bookmarkStart w:id="20" w:name="_heading=h.1y810tw" w:colFirst="0" w:colLast="0"/>
      <w:bookmarkEnd w:id="20"/>
      <w:r>
        <w:rPr>
          <w:rFonts w:ascii="Arial" w:eastAsia="Arial" w:hAnsi="Arial" w:cs="Arial"/>
          <w:i/>
          <w:color w:val="75B5E4"/>
          <w:szCs w:val="20"/>
        </w:rPr>
        <w:t>Table 2: NERSA Requirements for different size systems (</w:t>
      </w:r>
      <w:r w:rsidR="002626BA">
        <w:rPr>
          <w:rFonts w:ascii="Arial" w:eastAsia="Arial" w:hAnsi="Arial" w:cs="Arial"/>
          <w:i/>
          <w:color w:val="75B5E4"/>
          <w:szCs w:val="20"/>
        </w:rPr>
        <w:t>January 2023</w:t>
      </w:r>
      <w:r>
        <w:rPr>
          <w:rFonts w:ascii="Arial" w:eastAsia="Arial" w:hAnsi="Arial" w:cs="Arial"/>
          <w:i/>
          <w:color w:val="75B5E4"/>
          <w:szCs w:val="20"/>
        </w:rPr>
        <w:t xml:space="preserve"> revision of ERA Schedule 2)</w:t>
      </w:r>
    </w:p>
    <w:tbl>
      <w:tblPr>
        <w:tblStyle w:val="a6"/>
        <w:tblW w:w="9016" w:type="dxa"/>
        <w:tblBorders>
          <w:top w:val="single" w:sz="4" w:space="0" w:color="75B5E4"/>
          <w:left w:val="single" w:sz="4" w:space="0" w:color="75B5E4"/>
          <w:bottom w:val="single" w:sz="4" w:space="0" w:color="75B5E4"/>
          <w:right w:val="single" w:sz="4" w:space="0" w:color="75B5E4"/>
          <w:insideH w:val="single" w:sz="4" w:space="0" w:color="75B5E4"/>
          <w:insideV w:val="single" w:sz="4" w:space="0" w:color="75B5E4"/>
        </w:tblBorders>
        <w:tblLayout w:type="fixed"/>
        <w:tblLook w:val="04A0" w:firstRow="1" w:lastRow="0" w:firstColumn="1" w:lastColumn="0" w:noHBand="0" w:noVBand="1"/>
      </w:tblPr>
      <w:tblGrid>
        <w:gridCol w:w="4531"/>
        <w:gridCol w:w="2268"/>
        <w:gridCol w:w="2217"/>
      </w:tblGrid>
      <w:tr w:rsidR="00430808" w:rsidRPr="00430808" w14:paraId="43FC40B2" w14:textId="172C273A" w:rsidTr="00A61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2683C6"/>
          </w:tcPr>
          <w:p w14:paraId="43FC40B0" w14:textId="3A048240" w:rsidR="004859A2" w:rsidRPr="00430808" w:rsidRDefault="004859A2">
            <w:pPr>
              <w:pBdr>
                <w:top w:val="nil"/>
                <w:left w:val="nil"/>
                <w:bottom w:val="nil"/>
                <w:right w:val="nil"/>
                <w:between w:val="nil"/>
              </w:pBdr>
              <w:spacing w:line="276" w:lineRule="auto"/>
              <w:rPr>
                <w:rFonts w:eastAsia="Arial" w:cs="Arial"/>
                <w:color w:val="FFFFFF" w:themeColor="background1"/>
                <w:sz w:val="20"/>
                <w:szCs w:val="20"/>
              </w:rPr>
            </w:pPr>
            <w:r w:rsidRPr="00430808">
              <w:rPr>
                <w:rFonts w:eastAsia="Arial" w:cs="Arial"/>
                <w:b w:val="0"/>
                <w:color w:val="FFFFFF" w:themeColor="background1"/>
                <w:sz w:val="20"/>
                <w:szCs w:val="20"/>
              </w:rPr>
              <w:t>System size*</w:t>
            </w:r>
          </w:p>
        </w:tc>
        <w:tc>
          <w:tcPr>
            <w:tcW w:w="2268" w:type="dxa"/>
            <w:shd w:val="clear" w:color="auto" w:fill="2683C6"/>
          </w:tcPr>
          <w:p w14:paraId="43FC40B1" w14:textId="2A928F76" w:rsidR="004859A2" w:rsidRPr="00430808" w:rsidRDefault="004859A2">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sz w:val="20"/>
                <w:szCs w:val="20"/>
              </w:rPr>
            </w:pPr>
            <w:r w:rsidRPr="00430808">
              <w:rPr>
                <w:rFonts w:eastAsia="Arial" w:cs="Arial"/>
                <w:b w:val="0"/>
                <w:color w:val="FFFFFF" w:themeColor="background1"/>
                <w:sz w:val="20"/>
                <w:szCs w:val="20"/>
              </w:rPr>
              <w:t>NERSA license?</w:t>
            </w:r>
          </w:p>
        </w:tc>
        <w:tc>
          <w:tcPr>
            <w:tcW w:w="2217" w:type="dxa"/>
            <w:shd w:val="clear" w:color="auto" w:fill="2683C6"/>
          </w:tcPr>
          <w:p w14:paraId="13E98FA0" w14:textId="257024D4" w:rsidR="004859A2" w:rsidRPr="00430808" w:rsidRDefault="004859A2">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cs="Arial"/>
                <w:b w:val="0"/>
                <w:color w:val="FFFFFF" w:themeColor="background1"/>
                <w:sz w:val="20"/>
                <w:szCs w:val="20"/>
              </w:rPr>
            </w:pPr>
            <w:r w:rsidRPr="00430808">
              <w:rPr>
                <w:rFonts w:eastAsia="Arial" w:cs="Arial"/>
                <w:b w:val="0"/>
                <w:color w:val="FFFFFF" w:themeColor="background1"/>
                <w:sz w:val="20"/>
                <w:szCs w:val="20"/>
              </w:rPr>
              <w:t>NERSA registration?</w:t>
            </w:r>
          </w:p>
        </w:tc>
      </w:tr>
      <w:tr w:rsidR="004859A2" w14:paraId="43FC40B8" w14:textId="00F90311" w:rsidTr="00A61412">
        <w:tc>
          <w:tcPr>
            <w:cnfStyle w:val="001000000000" w:firstRow="0" w:lastRow="0" w:firstColumn="1" w:lastColumn="0" w:oddVBand="0" w:evenVBand="0" w:oddHBand="0" w:evenHBand="0" w:firstRowFirstColumn="0" w:firstRowLastColumn="0" w:lastRowFirstColumn="0" w:lastRowLastColumn="0"/>
            <w:tcW w:w="4531" w:type="dxa"/>
            <w:shd w:val="clear" w:color="auto" w:fill="E3F1ED"/>
          </w:tcPr>
          <w:p w14:paraId="43FC40B6" w14:textId="3F56D67A" w:rsidR="004859A2" w:rsidRPr="00843039" w:rsidRDefault="004859A2">
            <w:pPr>
              <w:pBdr>
                <w:top w:val="nil"/>
                <w:left w:val="nil"/>
                <w:bottom w:val="nil"/>
                <w:right w:val="nil"/>
                <w:between w:val="nil"/>
              </w:pBdr>
              <w:spacing w:before="0" w:after="0" w:line="276" w:lineRule="auto"/>
              <w:rPr>
                <w:rFonts w:eastAsia="Arial" w:cs="Arial"/>
                <w:b w:val="0"/>
                <w:bCs/>
                <w:color w:val="000000"/>
                <w:sz w:val="20"/>
                <w:szCs w:val="20"/>
              </w:rPr>
            </w:pPr>
            <w:r w:rsidRPr="00843039">
              <w:rPr>
                <w:rFonts w:eastAsia="Arial" w:cs="Arial"/>
                <w:b w:val="0"/>
                <w:bCs/>
                <w:color w:val="000000"/>
                <w:sz w:val="20"/>
                <w:szCs w:val="20"/>
              </w:rPr>
              <w:t>Any size EG w</w:t>
            </w:r>
            <w:r w:rsidR="006679E3">
              <w:rPr>
                <w:rFonts w:eastAsia="Arial" w:cs="Arial"/>
                <w:b w:val="0"/>
                <w:bCs/>
                <w:color w:val="000000"/>
                <w:sz w:val="20"/>
                <w:szCs w:val="20"/>
              </w:rPr>
              <w:t>ith</w:t>
            </w:r>
            <w:r w:rsidR="00301D2C">
              <w:rPr>
                <w:rFonts w:eastAsia="Arial" w:cs="Arial"/>
                <w:b w:val="0"/>
                <w:bCs/>
                <w:color w:val="000000"/>
                <w:sz w:val="20"/>
                <w:szCs w:val="20"/>
              </w:rPr>
              <w:t xml:space="preserve"> self-consumption</w:t>
            </w:r>
            <w:r w:rsidR="00FF1C2A">
              <w:rPr>
                <w:rFonts w:eastAsia="Arial" w:cs="Arial"/>
                <w:b w:val="0"/>
                <w:bCs/>
                <w:color w:val="000000"/>
                <w:sz w:val="20"/>
                <w:szCs w:val="20"/>
              </w:rPr>
              <w:t xml:space="preserve"> </w:t>
            </w:r>
            <w:r w:rsidRPr="00843039">
              <w:rPr>
                <w:rFonts w:eastAsia="Arial" w:cs="Arial"/>
                <w:b w:val="0"/>
                <w:bCs/>
                <w:color w:val="000000"/>
                <w:sz w:val="20"/>
                <w:szCs w:val="20"/>
              </w:rPr>
              <w:t>(</w:t>
            </w:r>
            <w:r w:rsidR="007E751B">
              <w:rPr>
                <w:rFonts w:eastAsia="Arial" w:cs="Arial"/>
                <w:b w:val="0"/>
                <w:bCs/>
                <w:color w:val="000000"/>
                <w:sz w:val="20"/>
                <w:szCs w:val="20"/>
              </w:rPr>
              <w:t>can also export, but no</w:t>
            </w:r>
            <w:r w:rsidRPr="00843039">
              <w:rPr>
                <w:rFonts w:eastAsia="Arial" w:cs="Arial"/>
                <w:b w:val="0"/>
                <w:bCs/>
                <w:color w:val="000000"/>
                <w:sz w:val="20"/>
                <w:szCs w:val="20"/>
              </w:rPr>
              <w:t xml:space="preserve"> wheeling)</w:t>
            </w:r>
          </w:p>
        </w:tc>
        <w:tc>
          <w:tcPr>
            <w:tcW w:w="2268" w:type="dxa"/>
            <w:shd w:val="clear" w:color="auto" w:fill="E3F1ED"/>
          </w:tcPr>
          <w:p w14:paraId="43FC40B7" w14:textId="4EBF2BE9" w:rsidR="004859A2" w:rsidRPr="00643B9C" w:rsidRDefault="00643B9C" w:rsidP="00643B9C">
            <w:pPr>
              <w:pBdr>
                <w:top w:val="nil"/>
                <w:left w:val="nil"/>
                <w:bottom w:val="nil"/>
                <w:right w:val="nil"/>
                <w:between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color w:val="auto"/>
                <w:sz w:val="40"/>
                <w:szCs w:val="40"/>
              </w:rPr>
            </w:pPr>
            <w:r w:rsidRPr="00643B9C">
              <w:rPr>
                <w:rFonts w:eastAsia="Arial" w:cs="Arial"/>
                <w:color w:val="auto"/>
                <w:sz w:val="40"/>
                <w:szCs w:val="40"/>
              </w:rPr>
              <w:sym w:font="Wingdings" w:char="F0FB"/>
            </w:r>
          </w:p>
        </w:tc>
        <w:tc>
          <w:tcPr>
            <w:tcW w:w="2217" w:type="dxa"/>
            <w:shd w:val="clear" w:color="auto" w:fill="E3F1ED"/>
          </w:tcPr>
          <w:p w14:paraId="6BF7578C" w14:textId="2E9084A8" w:rsidR="004859A2" w:rsidRPr="00643B9C" w:rsidRDefault="00430808" w:rsidP="00643B9C">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40"/>
                <w:szCs w:val="40"/>
              </w:rPr>
            </w:pPr>
            <w:r w:rsidRPr="00643B9C">
              <w:rPr>
                <w:rFonts w:eastAsia="Arial" w:cs="Arial"/>
                <w:color w:val="auto"/>
                <w:sz w:val="40"/>
                <w:szCs w:val="40"/>
              </w:rPr>
              <w:sym w:font="Wingdings" w:char="F0FB"/>
            </w:r>
          </w:p>
        </w:tc>
      </w:tr>
      <w:tr w:rsidR="004859A2" w14:paraId="1CA33308" w14:textId="16A7D362" w:rsidTr="00A61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E3F1ED"/>
          </w:tcPr>
          <w:p w14:paraId="2DF797E9" w14:textId="67921C92" w:rsidR="004859A2" w:rsidRPr="00843039" w:rsidRDefault="004859A2" w:rsidP="002C053F">
            <w:pPr>
              <w:pBdr>
                <w:top w:val="nil"/>
                <w:left w:val="nil"/>
                <w:bottom w:val="nil"/>
                <w:right w:val="nil"/>
                <w:between w:val="nil"/>
              </w:pBdr>
              <w:spacing w:before="0" w:after="0" w:line="276" w:lineRule="auto"/>
              <w:rPr>
                <w:rFonts w:eastAsia="Arial" w:cs="Arial"/>
                <w:b w:val="0"/>
                <w:bCs/>
                <w:color w:val="000000"/>
                <w:szCs w:val="20"/>
              </w:rPr>
            </w:pPr>
            <w:r w:rsidRPr="002C053F">
              <w:rPr>
                <w:rFonts w:eastAsia="Arial" w:cs="Arial"/>
                <w:b w:val="0"/>
                <w:color w:val="000000"/>
                <w:sz w:val="20"/>
                <w:szCs w:val="20"/>
              </w:rPr>
              <w:t>EG for wheeling up to 100kW</w:t>
            </w:r>
          </w:p>
        </w:tc>
        <w:tc>
          <w:tcPr>
            <w:tcW w:w="2268" w:type="dxa"/>
            <w:shd w:val="clear" w:color="auto" w:fill="E3F1ED"/>
          </w:tcPr>
          <w:p w14:paraId="0E8B9A18" w14:textId="0090106F" w:rsidR="004859A2" w:rsidRPr="00643B9C" w:rsidRDefault="00430808" w:rsidP="00643B9C">
            <w:pPr>
              <w:pBdr>
                <w:top w:val="nil"/>
                <w:left w:val="nil"/>
                <w:bottom w:val="nil"/>
                <w:right w:val="nil"/>
                <w:between w:val="nil"/>
              </w:pBdr>
              <w:spacing w:line="276" w:lineRule="auto"/>
              <w:jc w:val="center"/>
              <w:cnfStyle w:val="000000010000" w:firstRow="0" w:lastRow="0" w:firstColumn="0" w:lastColumn="0" w:oddVBand="0" w:evenVBand="0" w:oddHBand="0" w:evenHBand="1" w:firstRowFirstColumn="0" w:firstRowLastColumn="0" w:lastRowFirstColumn="0" w:lastRowLastColumn="0"/>
              <w:rPr>
                <w:rFonts w:eastAsia="Arial" w:cs="Arial"/>
                <w:sz w:val="40"/>
                <w:szCs w:val="40"/>
              </w:rPr>
            </w:pPr>
            <w:r w:rsidRPr="00643B9C">
              <w:rPr>
                <w:rFonts w:eastAsia="Arial" w:cs="Arial"/>
                <w:color w:val="auto"/>
                <w:sz w:val="40"/>
                <w:szCs w:val="40"/>
              </w:rPr>
              <w:sym w:font="Wingdings" w:char="F0FB"/>
            </w:r>
          </w:p>
        </w:tc>
        <w:tc>
          <w:tcPr>
            <w:tcW w:w="2217" w:type="dxa"/>
            <w:shd w:val="clear" w:color="auto" w:fill="E3F1ED"/>
          </w:tcPr>
          <w:p w14:paraId="3F6509A1" w14:textId="12A9BFF4" w:rsidR="004859A2" w:rsidRPr="00643B9C" w:rsidRDefault="00430808" w:rsidP="00643B9C">
            <w:pPr>
              <w:pBdr>
                <w:top w:val="nil"/>
                <w:left w:val="nil"/>
                <w:bottom w:val="nil"/>
                <w:right w:val="nil"/>
                <w:between w:val="nil"/>
              </w:pBdr>
              <w:spacing w:line="276" w:lineRule="auto"/>
              <w:jc w:val="center"/>
              <w:cnfStyle w:val="000000010000" w:firstRow="0" w:lastRow="0" w:firstColumn="0" w:lastColumn="0" w:oddVBand="0" w:evenVBand="0" w:oddHBand="0" w:evenHBand="1" w:firstRowFirstColumn="0" w:firstRowLastColumn="0" w:lastRowFirstColumn="0" w:lastRowLastColumn="0"/>
              <w:rPr>
                <w:rFonts w:eastAsia="Arial" w:cs="Arial"/>
                <w:sz w:val="40"/>
                <w:szCs w:val="40"/>
              </w:rPr>
            </w:pPr>
            <w:r w:rsidRPr="00643B9C">
              <w:rPr>
                <w:rFonts w:eastAsia="Arial" w:cs="Arial"/>
                <w:color w:val="auto"/>
                <w:sz w:val="40"/>
                <w:szCs w:val="40"/>
              </w:rPr>
              <w:sym w:font="Wingdings" w:char="F0FB"/>
            </w:r>
          </w:p>
        </w:tc>
      </w:tr>
      <w:tr w:rsidR="004859A2" w14:paraId="16A0503D" w14:textId="2DB82CC7" w:rsidTr="00A61412">
        <w:tc>
          <w:tcPr>
            <w:cnfStyle w:val="001000000000" w:firstRow="0" w:lastRow="0" w:firstColumn="1" w:lastColumn="0" w:oddVBand="0" w:evenVBand="0" w:oddHBand="0" w:evenHBand="0" w:firstRowFirstColumn="0" w:firstRowLastColumn="0" w:lastRowFirstColumn="0" w:lastRowLastColumn="0"/>
            <w:tcW w:w="4531" w:type="dxa"/>
            <w:shd w:val="clear" w:color="auto" w:fill="D0E6F6" w:themeFill="accent6" w:themeFillTint="33"/>
          </w:tcPr>
          <w:p w14:paraId="1DBFD45E" w14:textId="3C218A61" w:rsidR="004859A2" w:rsidRDefault="004859A2" w:rsidP="002C053F">
            <w:pPr>
              <w:pBdr>
                <w:top w:val="nil"/>
                <w:left w:val="nil"/>
                <w:bottom w:val="nil"/>
                <w:right w:val="nil"/>
                <w:between w:val="nil"/>
              </w:pBdr>
              <w:spacing w:line="276" w:lineRule="auto"/>
              <w:rPr>
                <w:rFonts w:eastAsia="Arial" w:cs="Arial"/>
                <w:color w:val="000000"/>
                <w:szCs w:val="20"/>
              </w:rPr>
            </w:pPr>
            <w:r>
              <w:rPr>
                <w:rFonts w:eastAsia="Arial" w:cs="Arial"/>
                <w:b w:val="0"/>
                <w:color w:val="000000"/>
                <w:sz w:val="20"/>
                <w:szCs w:val="20"/>
              </w:rPr>
              <w:t>EG for wheeling over 100kW</w:t>
            </w:r>
          </w:p>
        </w:tc>
        <w:tc>
          <w:tcPr>
            <w:tcW w:w="2268" w:type="dxa"/>
            <w:shd w:val="clear" w:color="auto" w:fill="D0E6F6" w:themeFill="accent6" w:themeFillTint="33"/>
          </w:tcPr>
          <w:p w14:paraId="6342D989" w14:textId="31D31A69" w:rsidR="004859A2" w:rsidRPr="00643B9C" w:rsidRDefault="00430808" w:rsidP="00643B9C">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40"/>
                <w:szCs w:val="40"/>
              </w:rPr>
            </w:pPr>
            <w:r w:rsidRPr="00643B9C">
              <w:rPr>
                <w:rFonts w:eastAsia="Arial" w:cs="Arial"/>
                <w:color w:val="auto"/>
                <w:sz w:val="40"/>
                <w:szCs w:val="40"/>
              </w:rPr>
              <w:sym w:font="Wingdings" w:char="F0FB"/>
            </w:r>
          </w:p>
        </w:tc>
        <w:tc>
          <w:tcPr>
            <w:tcW w:w="2217" w:type="dxa"/>
            <w:shd w:val="clear" w:color="auto" w:fill="D0E6F6" w:themeFill="accent6" w:themeFillTint="33"/>
          </w:tcPr>
          <w:p w14:paraId="0D9A88D1" w14:textId="1F973024" w:rsidR="004859A2" w:rsidRPr="00643B9C" w:rsidRDefault="00643B9C" w:rsidP="00643B9C">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Arial"/>
                <w:sz w:val="40"/>
                <w:szCs w:val="40"/>
              </w:rPr>
            </w:pPr>
            <w:r w:rsidRPr="00643B9C">
              <w:rPr>
                <w:rFonts w:eastAsia="Arial" w:cs="Arial"/>
                <w:color w:val="auto"/>
                <w:sz w:val="40"/>
                <w:szCs w:val="40"/>
              </w:rPr>
              <w:sym w:font="Wingdings" w:char="F0FC"/>
            </w:r>
          </w:p>
        </w:tc>
      </w:tr>
    </w:tbl>
    <w:p w14:paraId="43FC40BC" w14:textId="622282D6" w:rsidR="009045EB" w:rsidRPr="00064150" w:rsidRDefault="00105A0A">
      <w:pPr>
        <w:pBdr>
          <w:top w:val="nil"/>
          <w:left w:val="nil"/>
          <w:bottom w:val="nil"/>
          <w:right w:val="nil"/>
          <w:between w:val="nil"/>
        </w:pBdr>
        <w:spacing w:line="276" w:lineRule="auto"/>
        <w:jc w:val="both"/>
        <w:rPr>
          <w:rFonts w:ascii="Arial" w:eastAsia="Arial" w:hAnsi="Arial" w:cs="Arial"/>
          <w:color w:val="000000"/>
          <w:sz w:val="18"/>
          <w:szCs w:val="18"/>
        </w:rPr>
      </w:pPr>
      <w:r>
        <w:rPr>
          <w:rFonts w:ascii="Arial" w:eastAsia="Arial" w:hAnsi="Arial" w:cs="Arial"/>
          <w:color w:val="000000"/>
          <w:szCs w:val="20"/>
        </w:rPr>
        <w:t xml:space="preserve">* </w:t>
      </w:r>
      <w:r w:rsidR="00AC3CFD" w:rsidRPr="00064150">
        <w:rPr>
          <w:rFonts w:ascii="Arial" w:eastAsia="Arial" w:hAnsi="Arial" w:cs="Arial"/>
          <w:color w:val="000000"/>
          <w:sz w:val="18"/>
          <w:szCs w:val="18"/>
        </w:rPr>
        <w:t>- applies whether the EG has storage or not</w:t>
      </w:r>
      <w:r w:rsidR="0072593A" w:rsidRPr="00064150">
        <w:rPr>
          <w:rFonts w:ascii="Arial" w:eastAsia="Arial" w:hAnsi="Arial" w:cs="Arial"/>
          <w:color w:val="000000"/>
          <w:sz w:val="18"/>
          <w:szCs w:val="18"/>
        </w:rPr>
        <w:tab/>
      </w:r>
    </w:p>
    <w:p w14:paraId="26356069" w14:textId="77777777" w:rsidR="002738AC" w:rsidRDefault="002738AC">
      <w:pPr>
        <w:pBdr>
          <w:top w:val="nil"/>
          <w:left w:val="nil"/>
          <w:bottom w:val="nil"/>
          <w:right w:val="nil"/>
          <w:between w:val="nil"/>
        </w:pBdr>
        <w:spacing w:line="276" w:lineRule="auto"/>
        <w:jc w:val="both"/>
        <w:rPr>
          <w:rFonts w:ascii="Arial" w:eastAsia="Arial" w:hAnsi="Arial" w:cs="Arial"/>
          <w:color w:val="000000"/>
          <w:szCs w:val="20"/>
        </w:rPr>
      </w:pPr>
    </w:p>
    <w:p w14:paraId="43FC40BD" w14:textId="74BD88C8"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If a generation licence</w:t>
      </w:r>
      <w:r w:rsidR="001A0E18">
        <w:rPr>
          <w:rFonts w:ascii="Arial" w:eastAsia="Arial" w:hAnsi="Arial" w:cs="Arial"/>
          <w:color w:val="000000"/>
          <w:szCs w:val="20"/>
        </w:rPr>
        <w:t xml:space="preserve"> or registration</w:t>
      </w:r>
      <w:r>
        <w:rPr>
          <w:rFonts w:ascii="Arial" w:eastAsia="Arial" w:hAnsi="Arial" w:cs="Arial"/>
          <w:color w:val="000000"/>
          <w:szCs w:val="20"/>
        </w:rPr>
        <w:t xml:space="preserve"> is required in terms of the Electricity Regulation Act (2006), then it is the customer’s responsibility to interact with NERSA in this regard. The Municipality is obliged to report to NERSA on a regular basis regarding all municipal electrical network connected generation and it is also obliged to disconnect generators that are not adhering to regulations.</w:t>
      </w:r>
    </w:p>
    <w:p w14:paraId="43FC40BE" w14:textId="793DE6F0" w:rsidR="009045EB" w:rsidRPr="001110A7" w:rsidRDefault="0072593A">
      <w:pPr>
        <w:pStyle w:val="Heading2"/>
        <w:numPr>
          <w:ilvl w:val="1"/>
          <w:numId w:val="12"/>
        </w:numPr>
      </w:pPr>
      <w:bookmarkStart w:id="21" w:name="_Toc128033218"/>
      <w:r w:rsidRPr="001110A7">
        <w:t>Self-consumption vs IPPs (pure generators)</w:t>
      </w:r>
      <w:r w:rsidR="00BC7F5C" w:rsidRPr="001110A7">
        <w:t>.</w:t>
      </w:r>
      <w:bookmarkEnd w:id="21"/>
    </w:p>
    <w:p w14:paraId="43FC40BF" w14:textId="68543006"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sidRPr="001110A7">
        <w:rPr>
          <w:rFonts w:ascii="Arial" w:eastAsia="Arial" w:hAnsi="Arial" w:cs="Arial"/>
          <w:color w:val="000000"/>
          <w:szCs w:val="20"/>
        </w:rPr>
        <w:t xml:space="preserve">This document focuses on embedded generators which are largely for self-consumption.  Independent Power Producers (IPPs) or ‘pure generators’ (where there is no self-consumption) generally </w:t>
      </w:r>
      <w:r w:rsidR="00FD1E9C">
        <w:rPr>
          <w:rFonts w:ascii="Arial" w:eastAsia="Arial" w:hAnsi="Arial" w:cs="Arial"/>
          <w:color w:val="000000"/>
          <w:szCs w:val="20"/>
        </w:rPr>
        <w:t>will automatically require</w:t>
      </w:r>
      <w:r w:rsidR="00393A34">
        <w:rPr>
          <w:rFonts w:ascii="Arial" w:eastAsia="Arial" w:hAnsi="Arial" w:cs="Arial"/>
          <w:color w:val="000000"/>
          <w:szCs w:val="20"/>
        </w:rPr>
        <w:t xml:space="preserve"> grid impact studies</w:t>
      </w:r>
      <w:r w:rsidRPr="001110A7">
        <w:rPr>
          <w:rFonts w:ascii="Arial" w:eastAsia="Arial" w:hAnsi="Arial" w:cs="Arial"/>
          <w:color w:val="000000"/>
          <w:szCs w:val="20"/>
        </w:rPr>
        <w:t xml:space="preserve">, </w:t>
      </w:r>
      <w:r w:rsidR="0085016C">
        <w:rPr>
          <w:rFonts w:ascii="Arial" w:eastAsia="Arial" w:hAnsi="Arial" w:cs="Arial"/>
          <w:color w:val="000000"/>
          <w:szCs w:val="20"/>
        </w:rPr>
        <w:t xml:space="preserve">and, if they intend to wheel power, </w:t>
      </w:r>
      <w:r w:rsidR="00F063DB">
        <w:rPr>
          <w:rFonts w:ascii="Arial" w:eastAsia="Arial" w:hAnsi="Arial" w:cs="Arial"/>
          <w:color w:val="000000"/>
          <w:szCs w:val="20"/>
        </w:rPr>
        <w:t xml:space="preserve">will fall under any wheeling policies or regulations of the municipality.  Pure generators </w:t>
      </w:r>
      <w:r w:rsidR="001B682C">
        <w:rPr>
          <w:rFonts w:ascii="Arial" w:eastAsia="Arial" w:hAnsi="Arial" w:cs="Arial"/>
          <w:color w:val="000000"/>
          <w:szCs w:val="20"/>
        </w:rPr>
        <w:t xml:space="preserve">not wheeling </w:t>
      </w:r>
      <w:r w:rsidR="00FF69F7">
        <w:rPr>
          <w:rFonts w:ascii="Arial" w:eastAsia="Arial" w:hAnsi="Arial" w:cs="Arial"/>
          <w:color w:val="000000"/>
          <w:szCs w:val="20"/>
        </w:rPr>
        <w:t xml:space="preserve">power but </w:t>
      </w:r>
      <w:r w:rsidR="00A752B7">
        <w:rPr>
          <w:rFonts w:ascii="Arial" w:eastAsia="Arial" w:hAnsi="Arial" w:cs="Arial"/>
          <w:color w:val="000000"/>
          <w:szCs w:val="20"/>
        </w:rPr>
        <w:t>receiving export credits</w:t>
      </w:r>
      <w:r w:rsidR="00BE331D">
        <w:rPr>
          <w:rFonts w:ascii="Arial" w:eastAsia="Arial" w:hAnsi="Arial" w:cs="Arial"/>
          <w:color w:val="000000"/>
          <w:szCs w:val="20"/>
        </w:rPr>
        <w:t xml:space="preserve"> from the municipality </w:t>
      </w:r>
      <w:r w:rsidR="00F063DB">
        <w:rPr>
          <w:rFonts w:ascii="Arial" w:eastAsia="Arial" w:hAnsi="Arial" w:cs="Arial"/>
          <w:color w:val="000000"/>
          <w:szCs w:val="20"/>
        </w:rPr>
        <w:t xml:space="preserve">will </w:t>
      </w:r>
      <w:r w:rsidR="00EC33D3">
        <w:rPr>
          <w:rFonts w:ascii="Arial" w:eastAsia="Arial" w:hAnsi="Arial" w:cs="Arial"/>
          <w:color w:val="000000"/>
          <w:szCs w:val="20"/>
        </w:rPr>
        <w:t>also</w:t>
      </w:r>
      <w:r w:rsidR="006E6F84">
        <w:rPr>
          <w:rFonts w:ascii="Arial" w:eastAsia="Arial" w:hAnsi="Arial" w:cs="Arial"/>
          <w:color w:val="000000"/>
          <w:szCs w:val="20"/>
        </w:rPr>
        <w:t xml:space="preserve"> be </w:t>
      </w:r>
      <w:r w:rsidR="00EC33D3">
        <w:rPr>
          <w:rFonts w:ascii="Arial" w:eastAsia="Arial" w:hAnsi="Arial" w:cs="Arial"/>
          <w:color w:val="000000"/>
          <w:szCs w:val="20"/>
        </w:rPr>
        <w:t>subject to</w:t>
      </w:r>
      <w:r w:rsidR="006E6F84">
        <w:rPr>
          <w:rFonts w:ascii="Arial" w:eastAsia="Arial" w:hAnsi="Arial" w:cs="Arial"/>
          <w:color w:val="000000"/>
          <w:szCs w:val="20"/>
        </w:rPr>
        <w:t xml:space="preserve"> by</w:t>
      </w:r>
      <w:r w:rsidRPr="001110A7">
        <w:rPr>
          <w:rFonts w:ascii="Arial" w:eastAsia="Arial" w:hAnsi="Arial" w:cs="Arial"/>
          <w:color w:val="000000"/>
          <w:szCs w:val="20"/>
        </w:rPr>
        <w:t xml:space="preserve"> </w:t>
      </w:r>
      <w:r w:rsidR="00403E5B">
        <w:rPr>
          <w:rFonts w:ascii="Arial" w:eastAsia="Arial" w:hAnsi="Arial" w:cs="Arial"/>
          <w:color w:val="000000"/>
          <w:szCs w:val="20"/>
        </w:rPr>
        <w:t xml:space="preserve">MFMA </w:t>
      </w:r>
      <w:r w:rsidRPr="001110A7">
        <w:rPr>
          <w:rFonts w:ascii="Arial" w:eastAsia="Arial" w:hAnsi="Arial" w:cs="Arial"/>
          <w:color w:val="000000"/>
          <w:szCs w:val="20"/>
        </w:rPr>
        <w:t>conditions</w:t>
      </w:r>
      <w:r w:rsidR="00403E5B">
        <w:rPr>
          <w:rFonts w:ascii="Arial" w:eastAsia="Arial" w:hAnsi="Arial" w:cs="Arial"/>
          <w:color w:val="000000"/>
          <w:szCs w:val="20"/>
        </w:rPr>
        <w:t xml:space="preserve"> </w:t>
      </w:r>
      <w:r w:rsidRPr="001110A7">
        <w:rPr>
          <w:rFonts w:ascii="Arial" w:eastAsia="Arial" w:hAnsi="Arial" w:cs="Arial"/>
          <w:color w:val="000000"/>
          <w:szCs w:val="20"/>
        </w:rPr>
        <w:t>(</w:t>
      </w:r>
      <w:r w:rsidR="00403E5B">
        <w:rPr>
          <w:rFonts w:ascii="Arial" w:eastAsia="Arial" w:hAnsi="Arial" w:cs="Arial"/>
          <w:color w:val="000000"/>
          <w:szCs w:val="20"/>
        </w:rPr>
        <w:t xml:space="preserve">such as </w:t>
      </w:r>
      <w:r w:rsidR="0034760A">
        <w:rPr>
          <w:rFonts w:ascii="Arial" w:eastAsia="Arial" w:hAnsi="Arial" w:cs="Arial"/>
          <w:color w:val="000000"/>
          <w:szCs w:val="20"/>
        </w:rPr>
        <w:t xml:space="preserve">a </w:t>
      </w:r>
      <w:r w:rsidR="00AA12EA">
        <w:rPr>
          <w:rFonts w:ascii="Arial" w:eastAsia="Arial" w:hAnsi="Arial" w:cs="Arial"/>
          <w:color w:val="000000"/>
          <w:szCs w:val="20"/>
        </w:rPr>
        <w:t xml:space="preserve">transparent and </w:t>
      </w:r>
      <w:r w:rsidRPr="001110A7">
        <w:rPr>
          <w:rFonts w:ascii="Arial" w:eastAsia="Arial" w:hAnsi="Arial" w:cs="Arial"/>
          <w:color w:val="000000"/>
          <w:szCs w:val="20"/>
        </w:rPr>
        <w:t>competitive procurement process)</w:t>
      </w:r>
      <w:r w:rsidR="00EC33D3">
        <w:rPr>
          <w:rFonts w:ascii="Arial" w:eastAsia="Arial" w:hAnsi="Arial" w:cs="Arial"/>
          <w:color w:val="000000"/>
          <w:szCs w:val="20"/>
        </w:rPr>
        <w:t>.</w:t>
      </w:r>
    </w:p>
    <w:p w14:paraId="43FC40C0" w14:textId="38664B0B" w:rsidR="009045EB" w:rsidRDefault="0072593A">
      <w:pPr>
        <w:pStyle w:val="Heading2"/>
        <w:numPr>
          <w:ilvl w:val="1"/>
          <w:numId w:val="12"/>
        </w:numPr>
      </w:pPr>
      <w:bookmarkStart w:id="22" w:name="_Toc128033219"/>
      <w:r>
        <w:t>Exporting electricity</w:t>
      </w:r>
      <w:bookmarkEnd w:id="22"/>
    </w:p>
    <w:p w14:paraId="43FC40C1"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Municipal requirements regarding embedded generators exporting power back onto the network are as follows:</w:t>
      </w:r>
    </w:p>
    <w:p w14:paraId="43FC40C2" w14:textId="60E18D84"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DA" w14:textId="24611B9A" w:rsidR="009045EB" w:rsidRDefault="00273B7C">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Export freely, but remain a net consumer in Rand terms:</w:t>
      </w:r>
    </w:p>
    <w:p w14:paraId="3C6CA795" w14:textId="1D49E61C" w:rsidR="00273B7C" w:rsidRPr="00273B7C" w:rsidRDefault="00273B7C" w:rsidP="00273B7C">
      <w:pPr>
        <w:pStyle w:val="BodyText"/>
        <w:rPr>
          <w:lang w:val="en-GB"/>
        </w:rPr>
      </w:pPr>
      <w:r>
        <w:rPr>
          <w:lang w:val="en-GB"/>
        </w:rPr>
        <w:t>The is no technical limit to exporting electricity.</w:t>
      </w:r>
      <w:bookmarkStart w:id="23" w:name="_GoBack"/>
      <w:bookmarkEnd w:id="23"/>
      <w:r>
        <w:rPr>
          <w:lang w:val="en-GB"/>
        </w:rPr>
        <w:t xml:space="preserve"> But the export credit Rand amount may not result in a net payment to the customer in the energy account (i.e. excluding fixed demand charges). The customer is advised to size their systems appropriately. </w:t>
      </w:r>
    </w:p>
    <w:p w14:paraId="63489E85" w14:textId="77777777" w:rsidR="00273B7C" w:rsidRPr="00273B7C" w:rsidRDefault="00273B7C" w:rsidP="00273B7C">
      <w:pPr>
        <w:pStyle w:val="BodyText"/>
        <w:rPr>
          <w:lang w:val="en-GB"/>
        </w:rPr>
      </w:pPr>
    </w:p>
    <w:p w14:paraId="43FC40DB" w14:textId="4313F965"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DC" w14:textId="3BEC220C" w:rsidR="009045EB" w:rsidRDefault="0072593A">
      <w:pPr>
        <w:pStyle w:val="Heading2"/>
        <w:numPr>
          <w:ilvl w:val="1"/>
          <w:numId w:val="12"/>
        </w:numPr>
      </w:pPr>
      <w:bookmarkStart w:id="24" w:name="_Toc128033220"/>
      <w:r>
        <w:t>Wheeling</w:t>
      </w:r>
      <w:r w:rsidR="00CB5E32">
        <w:t>.</w:t>
      </w:r>
      <w:bookmarkEnd w:id="24"/>
    </w:p>
    <w:p w14:paraId="43FC40DD" w14:textId="5096103E"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All generators wishing to connect to the municipal network must obtain permission to connect as described in this document, whether wheeling or not. For generators wishing to wheel electricity, the municipality should be approached regarding whether a process for this is in place, and contractual and other arrangements to be complied with.</w:t>
      </w:r>
    </w:p>
    <w:p w14:paraId="43FC40DE"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DF" w14:textId="77777777" w:rsidR="009045EB" w:rsidRPr="00C8118B" w:rsidRDefault="0072593A">
      <w:pPr>
        <w:pBdr>
          <w:top w:val="nil"/>
          <w:left w:val="nil"/>
          <w:bottom w:val="nil"/>
          <w:right w:val="nil"/>
          <w:between w:val="nil"/>
        </w:pBdr>
        <w:spacing w:line="276" w:lineRule="auto"/>
        <w:jc w:val="both"/>
        <w:rPr>
          <w:rFonts w:ascii="Arial" w:eastAsia="Arial" w:hAnsi="Arial" w:cs="Arial"/>
          <w:szCs w:val="20"/>
        </w:rPr>
      </w:pPr>
      <w:r w:rsidRPr="00C8118B">
        <w:rPr>
          <w:rFonts w:ascii="Arial" w:eastAsia="Arial" w:hAnsi="Arial" w:cs="Arial"/>
          <w:b/>
          <w:szCs w:val="20"/>
        </w:rPr>
        <w:t>Generators may not fall under both embedded generator export tariffs and wheeling financial arrangements</w:t>
      </w:r>
      <w:r w:rsidRPr="00C8118B">
        <w:rPr>
          <w:rFonts w:ascii="Arial" w:eastAsia="Arial" w:hAnsi="Arial" w:cs="Arial"/>
          <w:szCs w:val="20"/>
        </w:rPr>
        <w:t>.</w:t>
      </w:r>
    </w:p>
    <w:p w14:paraId="43FC40E0"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E1" w14:textId="77777777" w:rsidR="009045EB" w:rsidRDefault="0072593A">
      <w:pPr>
        <w:pStyle w:val="Heading2"/>
        <w:numPr>
          <w:ilvl w:val="1"/>
          <w:numId w:val="12"/>
        </w:numPr>
      </w:pPr>
      <w:bookmarkStart w:id="25" w:name="_Toc128033221"/>
      <w:r>
        <w:t>Applicable technical standards</w:t>
      </w:r>
      <w:bookmarkEnd w:id="25"/>
    </w:p>
    <w:p w14:paraId="43FC40E2"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Most of the technical requirements that SSEGs are required to comply with are covered in the following standards and specifications: </w:t>
      </w:r>
    </w:p>
    <w:p w14:paraId="43FC40E3"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E4" w14:textId="538CDCB0" w:rsidR="009045EB" w:rsidRDefault="0072593A">
      <w:pPr>
        <w:numPr>
          <w:ilvl w:val="0"/>
          <w:numId w:val="5"/>
        </w:num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NRS 097-2 series: Grid interconnection of embedded generation: Part 2 Small Scale Embedded Generators, in particular</w:t>
      </w:r>
      <w:r w:rsidR="005F7A73">
        <w:rPr>
          <w:rStyle w:val="FootnoteReference"/>
          <w:rFonts w:ascii="Arial" w:eastAsia="Arial" w:hAnsi="Arial" w:cs="Arial"/>
          <w:color w:val="000000"/>
          <w:szCs w:val="20"/>
        </w:rPr>
        <w:footnoteReference w:id="1"/>
      </w:r>
      <w:r>
        <w:rPr>
          <w:rFonts w:ascii="Arial" w:eastAsia="Arial" w:hAnsi="Arial" w:cs="Arial"/>
          <w:color w:val="000000"/>
          <w:szCs w:val="20"/>
        </w:rPr>
        <w:t>:</w:t>
      </w:r>
    </w:p>
    <w:p w14:paraId="43FC40E5" w14:textId="77777777" w:rsidR="009045EB" w:rsidRDefault="0072593A">
      <w:pPr>
        <w:numPr>
          <w:ilvl w:val="1"/>
          <w:numId w:val="5"/>
        </w:numPr>
        <w:pBdr>
          <w:top w:val="nil"/>
          <w:left w:val="nil"/>
          <w:bottom w:val="nil"/>
          <w:right w:val="nil"/>
          <w:between w:val="nil"/>
        </w:pBdr>
        <w:spacing w:line="360" w:lineRule="auto"/>
        <w:jc w:val="both"/>
        <w:rPr>
          <w:rFonts w:ascii="Arial" w:eastAsia="Arial" w:hAnsi="Arial" w:cs="Arial"/>
          <w:i/>
          <w:color w:val="000000"/>
          <w:szCs w:val="20"/>
        </w:rPr>
      </w:pPr>
      <w:r>
        <w:rPr>
          <w:rFonts w:ascii="Arial" w:eastAsia="Arial" w:hAnsi="Arial" w:cs="Arial"/>
          <w:i/>
          <w:color w:val="000000"/>
          <w:szCs w:val="20"/>
        </w:rPr>
        <w:t>NRS097-2-1: Utility interface</w:t>
      </w:r>
    </w:p>
    <w:p w14:paraId="43FC40E6" w14:textId="77777777" w:rsidR="009045EB" w:rsidRDefault="0072593A">
      <w:pPr>
        <w:numPr>
          <w:ilvl w:val="1"/>
          <w:numId w:val="5"/>
        </w:numPr>
        <w:pBdr>
          <w:top w:val="nil"/>
          <w:left w:val="nil"/>
          <w:bottom w:val="nil"/>
          <w:right w:val="nil"/>
          <w:between w:val="nil"/>
        </w:pBdr>
        <w:spacing w:line="276" w:lineRule="auto"/>
        <w:rPr>
          <w:rFonts w:ascii="Arial" w:eastAsia="Arial" w:hAnsi="Arial" w:cs="Arial"/>
          <w:i/>
          <w:color w:val="000000"/>
          <w:szCs w:val="20"/>
        </w:rPr>
      </w:pPr>
      <w:r>
        <w:rPr>
          <w:rFonts w:ascii="Arial" w:eastAsia="Arial" w:hAnsi="Arial" w:cs="Arial"/>
          <w:i/>
          <w:color w:val="000000"/>
          <w:szCs w:val="20"/>
        </w:rPr>
        <w:t>NRS097-2-3: Simplified utility connection criteria for low-voltage connected generators</w:t>
      </w:r>
    </w:p>
    <w:p w14:paraId="43FC40E7"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E8"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In addition, SSEG installations are to comply with the following standards, legislation and regulations:</w:t>
      </w:r>
    </w:p>
    <w:p w14:paraId="43FC40E9"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EA" w14:textId="77777777" w:rsidR="009045EB" w:rsidRDefault="0072593A">
      <w:pPr>
        <w:numPr>
          <w:ilvl w:val="0"/>
          <w:numId w:val="7"/>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South African Renewable Power Plant Grid Code (although the NRS 097-2 series cover most issues relevant to SSEG)</w:t>
      </w:r>
    </w:p>
    <w:p w14:paraId="43FC40EB" w14:textId="77777777" w:rsidR="009045EB" w:rsidRDefault="0072593A">
      <w:pPr>
        <w:numPr>
          <w:ilvl w:val="0"/>
          <w:numId w:val="7"/>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NRS 048: Electricity Supply – Quality of Supply</w:t>
      </w:r>
      <w:r>
        <w:rPr>
          <w:rFonts w:ascii="Arial" w:eastAsia="Arial" w:hAnsi="Arial" w:cs="Arial"/>
          <w:color w:val="000000"/>
          <w:szCs w:val="20"/>
        </w:rPr>
        <w:tab/>
      </w:r>
    </w:p>
    <w:p w14:paraId="43FC40EC" w14:textId="77777777" w:rsidR="009045EB" w:rsidRDefault="0072593A">
      <w:pPr>
        <w:numPr>
          <w:ilvl w:val="0"/>
          <w:numId w:val="7"/>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SANS 10142-1 and 10142-1-2: The wiring of premises (as amended and published)</w:t>
      </w:r>
      <w:r>
        <w:rPr>
          <w:rFonts w:ascii="Arial" w:eastAsia="Arial" w:hAnsi="Arial" w:cs="Arial"/>
          <w:color w:val="000000"/>
          <w:szCs w:val="20"/>
        </w:rPr>
        <w:tab/>
      </w:r>
    </w:p>
    <w:p w14:paraId="43FC40ED" w14:textId="77777777" w:rsidR="009045EB" w:rsidRDefault="0072593A">
      <w:pPr>
        <w:numPr>
          <w:ilvl w:val="0"/>
          <w:numId w:val="7"/>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SANS 474 / NRS 057 : Code of Practice for Electricity Metering</w:t>
      </w:r>
      <w:r>
        <w:rPr>
          <w:rFonts w:ascii="Arial" w:eastAsia="Arial" w:hAnsi="Arial" w:cs="Arial"/>
          <w:color w:val="000000"/>
          <w:szCs w:val="20"/>
        </w:rPr>
        <w:tab/>
      </w:r>
    </w:p>
    <w:p w14:paraId="43FC40EE" w14:textId="77777777" w:rsidR="009045EB" w:rsidRDefault="0072593A">
      <w:pPr>
        <w:numPr>
          <w:ilvl w:val="0"/>
          <w:numId w:val="7"/>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Municipal Electricity Supply by-law</w:t>
      </w:r>
      <w:r>
        <w:rPr>
          <w:rFonts w:ascii="Arial" w:eastAsia="Arial" w:hAnsi="Arial" w:cs="Arial"/>
          <w:color w:val="000000"/>
          <w:szCs w:val="20"/>
        </w:rPr>
        <w:tab/>
      </w:r>
    </w:p>
    <w:p w14:paraId="43FC40EF"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F0" w14:textId="0724DD83" w:rsidR="009045EB" w:rsidRDefault="0072593A">
      <w:pPr>
        <w:pStyle w:val="Heading2"/>
        <w:numPr>
          <w:ilvl w:val="1"/>
          <w:numId w:val="12"/>
        </w:numPr>
      </w:pPr>
      <w:bookmarkStart w:id="26" w:name="_Toc128033222"/>
      <w:r>
        <w:t>Testing of Inverters</w:t>
      </w:r>
      <w:r w:rsidR="00BC7F5C">
        <w:t>.</w:t>
      </w:r>
      <w:bookmarkEnd w:id="26"/>
    </w:p>
    <w:p w14:paraId="43FC40F1"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Until such time as a SABS mark is issued for inverters, the </w:t>
      </w:r>
      <w:r>
        <w:rPr>
          <w:rFonts w:ascii="Arial" w:eastAsia="Arial" w:hAnsi="Arial" w:cs="Arial"/>
          <w:color w:val="000000"/>
          <w:szCs w:val="20"/>
          <w:u w:val="single"/>
        </w:rPr>
        <w:t>Municipality shall require proof in the form of test certificates</w:t>
      </w:r>
      <w:r>
        <w:rPr>
          <w:rFonts w:ascii="Arial" w:eastAsia="Arial" w:hAnsi="Arial" w:cs="Arial"/>
          <w:color w:val="000000"/>
          <w:szCs w:val="20"/>
        </w:rPr>
        <w:t xml:space="preserve">, of type tests having been successfully carried out by a third party testing authority certifying compliance of the inverters with NRS097-2-1 (and NRS097-2-2 when published). The use of inverters without such certification is not permitted, both in new and existing installations. The </w:t>
      </w:r>
      <w:r>
        <w:rPr>
          <w:rFonts w:ascii="Arial" w:eastAsia="Arial" w:hAnsi="Arial" w:cs="Arial"/>
          <w:color w:val="000000"/>
          <w:szCs w:val="20"/>
          <w:u w:val="single"/>
        </w:rPr>
        <w:t>installation of reverse feed blocking does not exempt the customer</w:t>
      </w:r>
      <w:r>
        <w:rPr>
          <w:rFonts w:ascii="Arial" w:eastAsia="Arial" w:hAnsi="Arial" w:cs="Arial"/>
          <w:color w:val="000000"/>
          <w:szCs w:val="20"/>
        </w:rPr>
        <w:t xml:space="preserve"> from providing the NRS097-2-1 certification.</w:t>
      </w:r>
    </w:p>
    <w:p w14:paraId="43FC40F2"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F3"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u w:val="single"/>
        </w:rPr>
        <w:t>In general, the test certificate must be for the most recent version of NRS097-2-1</w:t>
      </w:r>
      <w:r>
        <w:rPr>
          <w:rFonts w:ascii="Arial" w:eastAsia="Arial" w:hAnsi="Arial" w:cs="Arial"/>
          <w:color w:val="000000"/>
          <w:szCs w:val="20"/>
        </w:rPr>
        <w:t>. The municipality reserves the right not to accept test certificates for old versions of NRS097-2-1.</w:t>
      </w:r>
    </w:p>
    <w:p w14:paraId="43FC40F4"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F5" w14:textId="77777777" w:rsidR="009045EB" w:rsidRDefault="0072593A">
      <w:pPr>
        <w:jc w:val="both"/>
        <w:rPr>
          <w:rFonts w:ascii="Arial" w:eastAsia="Arial" w:hAnsi="Arial" w:cs="Arial"/>
        </w:rPr>
      </w:pPr>
      <w:r>
        <w:rPr>
          <w:rFonts w:ascii="Arial" w:eastAsia="Arial" w:hAnsi="Arial" w:cs="Arial"/>
        </w:rPr>
        <w:t xml:space="preserve">The certification body must be SANAS accredited or be recognised by the International Laboratory Accreditation Co-operation (ILAC) or the International Accreditation Forum (IAF) in terms of ISO/IEC </w:t>
      </w:r>
      <w:r>
        <w:rPr>
          <w:rFonts w:ascii="Arial" w:eastAsia="Arial" w:hAnsi="Arial" w:cs="Arial"/>
        </w:rPr>
        <w:lastRenderedPageBreak/>
        <w:t>17025:2005 for photovoltaic systems. The accreditation bodies must provide accreditation documentation for the specific test location.</w:t>
      </w:r>
    </w:p>
    <w:p w14:paraId="43FC40F6" w14:textId="77777777" w:rsidR="009045EB" w:rsidRDefault="0072593A">
      <w:pPr>
        <w:jc w:val="both"/>
        <w:rPr>
          <w:rFonts w:ascii="Arial" w:eastAsia="Arial" w:hAnsi="Arial" w:cs="Arial"/>
        </w:rPr>
      </w:pPr>
      <w:r>
        <w:rPr>
          <w:rFonts w:ascii="Arial" w:eastAsia="Arial" w:hAnsi="Arial" w:cs="Arial"/>
        </w:rPr>
        <w:t xml:space="preserve"> </w:t>
      </w:r>
    </w:p>
    <w:p w14:paraId="43FC40F7"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sidRPr="00FE10FB">
        <w:rPr>
          <w:rFonts w:ascii="Arial" w:eastAsia="Arial" w:hAnsi="Arial" w:cs="Arial"/>
          <w:b/>
          <w:color w:val="000000"/>
          <w:szCs w:val="20"/>
        </w:rPr>
        <w:t>The customer should require the inverter supplier to provide the necessary certification before the equipment is purchased</w:t>
      </w:r>
      <w:r>
        <w:rPr>
          <w:rFonts w:ascii="Arial" w:eastAsia="Arial" w:hAnsi="Arial" w:cs="Arial"/>
          <w:color w:val="000000"/>
          <w:szCs w:val="20"/>
        </w:rPr>
        <w:t xml:space="preserve">. </w:t>
      </w:r>
    </w:p>
    <w:p w14:paraId="43FC40F8" w14:textId="77777777" w:rsidR="009045EB" w:rsidRDefault="0072593A">
      <w:pPr>
        <w:pStyle w:val="Heading2"/>
        <w:numPr>
          <w:ilvl w:val="1"/>
          <w:numId w:val="12"/>
        </w:numPr>
      </w:pPr>
      <w:bookmarkStart w:id="27" w:name="_Toc128033223"/>
      <w:r>
        <w:t>Islanding / Anti-Islanding installations</w:t>
      </w:r>
      <w:bookmarkEnd w:id="27"/>
      <w:r>
        <w:t xml:space="preserve"> </w:t>
      </w:r>
    </w:p>
    <w:p w14:paraId="43FC40F9" w14:textId="532F509D"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All SSEG installations are required to have an anti-islanding function (immediate disconnection when there is a general power outage) as stipulated in the NRS 097-2-1.  Certification to this effect is required of inverters (see 3.</w:t>
      </w:r>
      <w:r w:rsidR="00E7066B">
        <w:rPr>
          <w:rFonts w:ascii="Arial" w:eastAsia="Arial" w:hAnsi="Arial" w:cs="Arial"/>
          <w:color w:val="000000"/>
          <w:szCs w:val="20"/>
        </w:rPr>
        <w:t>6</w:t>
      </w:r>
      <w:r>
        <w:rPr>
          <w:rFonts w:ascii="Arial" w:eastAsia="Arial" w:hAnsi="Arial" w:cs="Arial"/>
          <w:color w:val="000000"/>
          <w:szCs w:val="20"/>
        </w:rPr>
        <w:t xml:space="preserve"> Testing of Inverters).</w:t>
      </w:r>
    </w:p>
    <w:p w14:paraId="43FC40FA"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FB" w14:textId="5B001491"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Should the inverter or SSEG installation have the facility to both comply with the NRS 097-2-1 requirements for grid-connected systems (including anti-islanding requirements) AND </w:t>
      </w:r>
      <w:r>
        <w:rPr>
          <w:rFonts w:ascii="Arial" w:eastAsia="Arial" w:hAnsi="Arial" w:cs="Arial"/>
          <w:color w:val="000000"/>
          <w:szCs w:val="20"/>
          <w:u w:val="single"/>
        </w:rPr>
        <w:t>operate in “islanded mode”</w:t>
      </w:r>
      <w:r>
        <w:rPr>
          <w:rFonts w:ascii="Arial" w:eastAsia="Arial" w:hAnsi="Arial" w:cs="Arial"/>
          <w:color w:val="000000"/>
          <w:szCs w:val="20"/>
        </w:rPr>
        <w:t xml:space="preserve"> (or “off grid” mode) where the SSEG installation supplies power to a portion of the customer’s electrical grid during a general power outage, the islanded system shall be effectively isolated from the municipal electrical network during islanded mode operation.</w:t>
      </w:r>
    </w:p>
    <w:p w14:paraId="43FC40FC"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0FD" w14:textId="03B6E8A4"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If the SSEG installation is to be configured as a </w:t>
      </w:r>
      <w:r>
        <w:rPr>
          <w:rFonts w:ascii="Arial" w:eastAsia="Arial" w:hAnsi="Arial" w:cs="Arial"/>
          <w:color w:val="000000"/>
          <w:szCs w:val="20"/>
          <w:u w:val="single"/>
        </w:rPr>
        <w:t>standby supply</w:t>
      </w:r>
      <w:r>
        <w:rPr>
          <w:rFonts w:ascii="Arial" w:eastAsia="Arial" w:hAnsi="Arial" w:cs="Arial"/>
          <w:color w:val="000000"/>
          <w:szCs w:val="20"/>
        </w:rPr>
        <w:t xml:space="preserve"> after isolating from the municipal electrical network (in which case it becomes an ‘alternative supply’, not an embedded generator any longer) using a break-before-make changeover switch, a registered person in terms of the Electrical Installation Regulations (2009) shall issue a Certificate of Compliance to the owner if the generator is to be connected to the existing internal wiring of the property. Requirements of SANS 10142-1 apply. </w:t>
      </w:r>
    </w:p>
    <w:p w14:paraId="43FC40FE" w14:textId="6CE30404" w:rsidR="009045EB" w:rsidRDefault="0072593A">
      <w:pPr>
        <w:pStyle w:val="Heading2"/>
        <w:numPr>
          <w:ilvl w:val="1"/>
          <w:numId w:val="12"/>
        </w:numPr>
      </w:pPr>
      <w:bookmarkStart w:id="28" w:name="_Toc128033224"/>
      <w:r>
        <w:t>Battery or other Storage</w:t>
      </w:r>
      <w:r w:rsidR="000A0A9E">
        <w:t>.</w:t>
      </w:r>
      <w:bookmarkEnd w:id="28"/>
    </w:p>
    <w:p w14:paraId="43FC40FF" w14:textId="32DBE8A6"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Battery or other storage may be included in the SSEG configuration.  Where it is connected in </w:t>
      </w:r>
      <w:r>
        <w:rPr>
          <w:rFonts w:ascii="Arial" w:eastAsia="Arial" w:hAnsi="Arial" w:cs="Arial"/>
          <w:color w:val="000000"/>
          <w:szCs w:val="20"/>
          <w:u w:val="single"/>
        </w:rPr>
        <w:t>standby power supply mode</w:t>
      </w:r>
      <w:r>
        <w:rPr>
          <w:rFonts w:ascii="Arial" w:eastAsia="Arial" w:hAnsi="Arial" w:cs="Arial"/>
          <w:color w:val="000000"/>
          <w:szCs w:val="20"/>
        </w:rPr>
        <w:t xml:space="preserve"> (i.e. it is not configured to provide power in parallel to the SSEG but only to operate in islanded mode) the provisions for ‘island mode’ generators in Section 3.</w:t>
      </w:r>
      <w:r w:rsidR="00806D5B">
        <w:rPr>
          <w:rFonts w:ascii="Arial" w:eastAsia="Arial" w:hAnsi="Arial" w:cs="Arial"/>
          <w:color w:val="000000"/>
          <w:szCs w:val="20"/>
        </w:rPr>
        <w:t>7</w:t>
      </w:r>
      <w:r>
        <w:rPr>
          <w:rFonts w:ascii="Arial" w:eastAsia="Arial" w:hAnsi="Arial" w:cs="Arial"/>
          <w:color w:val="000000"/>
          <w:szCs w:val="20"/>
        </w:rPr>
        <w:t xml:space="preserve"> Islanding / Anti-Islanding installations apply.</w:t>
      </w:r>
    </w:p>
    <w:p w14:paraId="43FC4100" w14:textId="6061C28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01" w14:textId="26DFF43A"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Where storage is </w:t>
      </w:r>
      <w:r>
        <w:rPr>
          <w:rFonts w:ascii="Arial" w:eastAsia="Arial" w:hAnsi="Arial" w:cs="Arial"/>
          <w:color w:val="000000"/>
          <w:szCs w:val="20"/>
          <w:u w:val="single"/>
        </w:rPr>
        <w:t>connected such that it can provide power onto the network</w:t>
      </w:r>
      <w:r>
        <w:rPr>
          <w:rFonts w:ascii="Arial" w:eastAsia="Arial" w:hAnsi="Arial" w:cs="Arial"/>
          <w:color w:val="000000"/>
          <w:szCs w:val="20"/>
        </w:rPr>
        <w:t xml:space="preserve">, it shall do so via an NRS097-2-1 certified inverter.  If this is achieved via a separate storage/battery inverter (even only to feed into the customers wiring which is in turn connected to the municipal network), </w:t>
      </w:r>
      <w:r>
        <w:rPr>
          <w:rFonts w:ascii="Arial" w:eastAsia="Arial" w:hAnsi="Arial" w:cs="Arial"/>
          <w:color w:val="000000"/>
          <w:szCs w:val="20"/>
          <w:u w:val="single"/>
        </w:rPr>
        <w:t>the storage/battery inverter shall be NRS097-2-1 certified</w:t>
      </w:r>
      <w:r>
        <w:rPr>
          <w:rFonts w:ascii="Arial" w:eastAsia="Arial" w:hAnsi="Arial" w:cs="Arial"/>
          <w:color w:val="000000"/>
          <w:szCs w:val="20"/>
        </w:rPr>
        <w:t xml:space="preserve">, and evidence of such compliance provided to the municipality. </w:t>
      </w:r>
    </w:p>
    <w:p w14:paraId="43FC4102"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03" w14:textId="0EFA26BA" w:rsidR="009045EB" w:rsidRPr="00F11E09" w:rsidRDefault="0072593A">
      <w:pPr>
        <w:pBdr>
          <w:top w:val="nil"/>
          <w:left w:val="nil"/>
          <w:bottom w:val="nil"/>
          <w:right w:val="nil"/>
          <w:between w:val="nil"/>
        </w:pBdr>
        <w:spacing w:line="276" w:lineRule="auto"/>
        <w:jc w:val="both"/>
        <w:rPr>
          <w:rFonts w:ascii="Arial" w:eastAsia="Arial" w:hAnsi="Arial" w:cs="Arial"/>
          <w:bCs/>
          <w:color w:val="000000"/>
          <w:szCs w:val="20"/>
        </w:rPr>
      </w:pPr>
      <w:r w:rsidRPr="009E5D30">
        <w:rPr>
          <w:rFonts w:ascii="Arial" w:eastAsia="Arial" w:hAnsi="Arial" w:cs="Arial"/>
          <w:bCs/>
          <w:color w:val="000000"/>
          <w:szCs w:val="20"/>
        </w:rPr>
        <w:t xml:space="preserve">Battery charging </w:t>
      </w:r>
      <w:r w:rsidR="003720A1">
        <w:rPr>
          <w:rFonts w:ascii="Arial" w:eastAsia="Arial" w:hAnsi="Arial" w:cs="Arial"/>
          <w:bCs/>
          <w:color w:val="000000"/>
          <w:szCs w:val="20"/>
        </w:rPr>
        <w:t xml:space="preserve">current </w:t>
      </w:r>
      <w:r w:rsidRPr="009E5D30">
        <w:rPr>
          <w:rFonts w:ascii="Arial" w:eastAsia="Arial" w:hAnsi="Arial" w:cs="Arial"/>
          <w:bCs/>
          <w:color w:val="000000"/>
          <w:szCs w:val="20"/>
        </w:rPr>
        <w:t>limits</w:t>
      </w:r>
      <w:r w:rsidR="00B07F85" w:rsidRPr="009E5D30">
        <w:rPr>
          <w:rFonts w:ascii="Arial" w:eastAsia="Arial" w:hAnsi="Arial" w:cs="Arial"/>
          <w:bCs/>
          <w:color w:val="000000"/>
          <w:szCs w:val="20"/>
        </w:rPr>
        <w:t xml:space="preserve"> are applicable</w:t>
      </w:r>
      <w:r w:rsidR="000F19F8" w:rsidRPr="009E5D30">
        <w:rPr>
          <w:rFonts w:ascii="Arial" w:eastAsia="Arial" w:hAnsi="Arial" w:cs="Arial"/>
          <w:bCs/>
          <w:color w:val="000000"/>
          <w:szCs w:val="20"/>
        </w:rPr>
        <w:t xml:space="preserve"> to reduce cold load pickup</w:t>
      </w:r>
      <w:r w:rsidR="00B07F85" w:rsidRPr="009E5D30">
        <w:rPr>
          <w:rFonts w:ascii="Arial" w:eastAsia="Arial" w:hAnsi="Arial" w:cs="Arial"/>
          <w:bCs/>
          <w:color w:val="000000"/>
          <w:szCs w:val="20"/>
        </w:rPr>
        <w:t>, and are covered in the NRS097-2-3</w:t>
      </w:r>
      <w:r w:rsidR="00F11E09" w:rsidRPr="00F11E09">
        <w:rPr>
          <w:rFonts w:ascii="Arial" w:eastAsia="Arial" w:hAnsi="Arial" w:cs="Arial"/>
          <w:bCs/>
          <w:color w:val="000000"/>
          <w:szCs w:val="20"/>
        </w:rPr>
        <w:t>.</w:t>
      </w:r>
    </w:p>
    <w:p w14:paraId="43FC4104" w14:textId="5C1E0F9A" w:rsidR="009045EB" w:rsidRDefault="0072593A">
      <w:pPr>
        <w:pStyle w:val="Heading2"/>
        <w:numPr>
          <w:ilvl w:val="1"/>
          <w:numId w:val="12"/>
        </w:numPr>
      </w:pPr>
      <w:bookmarkStart w:id="29" w:name="_Toc128033225"/>
      <w:r>
        <w:t>Hybrid inverters operating in islanded (off-grid) mode</w:t>
      </w:r>
      <w:r w:rsidR="00B611C6">
        <w:t>.</w:t>
      </w:r>
      <w:bookmarkEnd w:id="29"/>
    </w:p>
    <w:p w14:paraId="43FC4105" w14:textId="0C39129E"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Inverters which can be operated in grid-tied or islanded (off-grid) mode, but </w:t>
      </w:r>
      <w:r>
        <w:rPr>
          <w:rFonts w:ascii="Arial" w:eastAsia="Arial" w:hAnsi="Arial" w:cs="Arial"/>
          <w:color w:val="000000"/>
          <w:szCs w:val="20"/>
          <w:u w:val="single"/>
        </w:rPr>
        <w:t>where physical wiring connections with the grid exist</w:t>
      </w:r>
      <w:r>
        <w:rPr>
          <w:rFonts w:ascii="Arial" w:eastAsia="Arial" w:hAnsi="Arial" w:cs="Arial"/>
          <w:color w:val="000000"/>
          <w:szCs w:val="20"/>
        </w:rPr>
        <w:t xml:space="preserve"> (e.g. via the distribution board), are </w:t>
      </w:r>
      <w:r>
        <w:rPr>
          <w:rFonts w:ascii="Arial" w:eastAsia="Arial" w:hAnsi="Arial" w:cs="Arial"/>
          <w:color w:val="000000"/>
          <w:szCs w:val="20"/>
          <w:u w:val="single"/>
        </w:rPr>
        <w:t>considered grid-tied</w:t>
      </w:r>
      <w:r>
        <w:rPr>
          <w:rFonts w:ascii="Arial" w:eastAsia="Arial" w:hAnsi="Arial" w:cs="Arial"/>
          <w:color w:val="000000"/>
          <w:szCs w:val="20"/>
        </w:rPr>
        <w:t xml:space="preserve"> SSEG systems and require municipal permission as described in this document.  This applies </w:t>
      </w:r>
      <w:r>
        <w:rPr>
          <w:rFonts w:ascii="Arial" w:eastAsia="Arial" w:hAnsi="Arial" w:cs="Arial"/>
          <w:color w:val="000000"/>
          <w:szCs w:val="20"/>
          <w:u w:val="single"/>
        </w:rPr>
        <w:t>even if they are being operated in off-grid (islanded) mode</w:t>
      </w:r>
      <w:r>
        <w:rPr>
          <w:rFonts w:ascii="Arial" w:eastAsia="Arial" w:hAnsi="Arial" w:cs="Arial"/>
          <w:color w:val="000000"/>
          <w:szCs w:val="20"/>
        </w:rPr>
        <w:t>.  Only where there is no physical wiring connection to the grid, direct or indirect, is it not considered an embedded generator.</w:t>
      </w:r>
    </w:p>
    <w:p w14:paraId="43FC4106" w14:textId="77777777" w:rsidR="009045EB" w:rsidRDefault="0072593A">
      <w:pPr>
        <w:pStyle w:val="Heading2"/>
        <w:numPr>
          <w:ilvl w:val="1"/>
          <w:numId w:val="12"/>
        </w:numPr>
      </w:pPr>
      <w:bookmarkStart w:id="30" w:name="_Toc128033226"/>
      <w:r>
        <w:t>Fire safety and emergency shut-off switch</w:t>
      </w:r>
      <w:bookmarkEnd w:id="30"/>
    </w:p>
    <w:p w14:paraId="43FC4107"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Emergency disconnection switching shall be in accordance with NRS 097-2-1.</w:t>
      </w:r>
    </w:p>
    <w:p w14:paraId="43FC4108" w14:textId="77777777" w:rsidR="009045EB" w:rsidRDefault="0072593A">
      <w:pPr>
        <w:pStyle w:val="Heading2"/>
        <w:numPr>
          <w:ilvl w:val="1"/>
          <w:numId w:val="12"/>
        </w:numPr>
      </w:pPr>
      <w:bookmarkStart w:id="31" w:name="_Toc128033227"/>
      <w:r>
        <w:t>Dead Grid safety Lock</w:t>
      </w:r>
      <w:bookmarkEnd w:id="31"/>
    </w:p>
    <w:p w14:paraId="43FC4109"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Dead Grid Safety Lock shall be in accordance with SANS10142-1-2 (as published).</w:t>
      </w:r>
    </w:p>
    <w:p w14:paraId="43FC410A" w14:textId="3781B343" w:rsidR="009045EB" w:rsidRDefault="0072593A">
      <w:pPr>
        <w:pStyle w:val="Heading2"/>
        <w:numPr>
          <w:ilvl w:val="1"/>
          <w:numId w:val="12"/>
        </w:numPr>
      </w:pPr>
      <w:bookmarkStart w:id="32" w:name="_Toc128033228"/>
      <w:r>
        <w:lastRenderedPageBreak/>
        <w:t>Qualified installers</w:t>
      </w:r>
      <w:r w:rsidR="00C84CB0">
        <w:t>.</w:t>
      </w:r>
      <w:bookmarkEnd w:id="32"/>
    </w:p>
    <w:p w14:paraId="053E4392" w14:textId="77777777" w:rsidR="00FE10FB" w:rsidRDefault="0072593A" w:rsidP="00FE10FB">
      <w:pPr>
        <w:pBdr>
          <w:top w:val="nil"/>
          <w:left w:val="nil"/>
          <w:bottom w:val="nil"/>
          <w:right w:val="nil"/>
          <w:between w:val="nil"/>
        </w:pBdr>
        <w:spacing w:line="276" w:lineRule="auto"/>
        <w:jc w:val="both"/>
        <w:rPr>
          <w:rFonts w:ascii="Arial" w:eastAsia="Arial" w:hAnsi="Arial" w:cs="Arial"/>
          <w:color w:val="000000"/>
          <w:szCs w:val="20"/>
        </w:rPr>
      </w:pPr>
      <w:r w:rsidRPr="00FE10FB">
        <w:rPr>
          <w:rFonts w:ascii="Arial" w:eastAsia="Arial" w:hAnsi="Arial" w:cs="Arial"/>
          <w:color w:val="000000"/>
          <w:szCs w:val="20"/>
        </w:rPr>
        <w:t xml:space="preserve">The municipality recommends that customers installing solar PV SSEG use </w:t>
      </w:r>
      <w:r w:rsidRPr="00FE10FB">
        <w:rPr>
          <w:rFonts w:ascii="Arial" w:eastAsia="Arial" w:hAnsi="Arial" w:cs="Arial"/>
          <w:color w:val="000000"/>
          <w:szCs w:val="20"/>
          <w:u w:val="single"/>
        </w:rPr>
        <w:t>industry accredited</w:t>
      </w:r>
      <w:r>
        <w:rPr>
          <w:rFonts w:ascii="Arial" w:eastAsia="Arial" w:hAnsi="Arial" w:cs="Arial"/>
          <w:color w:val="000000"/>
          <w:szCs w:val="20"/>
          <w:u w:val="single"/>
        </w:rPr>
        <w:t xml:space="preserve"> installers</w:t>
      </w:r>
      <w:r>
        <w:rPr>
          <w:rFonts w:ascii="Arial" w:eastAsia="Arial" w:hAnsi="Arial" w:cs="Arial"/>
          <w:color w:val="000000"/>
          <w:szCs w:val="20"/>
        </w:rPr>
        <w:t xml:space="preserve"> under a third party quality assurance such as PV Green Card: A SAPVIA (South African Photovoltaic Industries Association) endorsed programme to ensure the quality and safety of PV installations (</w:t>
      </w:r>
      <w:hyperlink r:id="rId36">
        <w:r>
          <w:rPr>
            <w:rFonts w:ascii="Arial" w:eastAsia="Arial" w:hAnsi="Arial" w:cs="Arial"/>
            <w:color w:val="6B9F25"/>
            <w:szCs w:val="20"/>
            <w:u w:val="single"/>
          </w:rPr>
          <w:t>www.pvgreencard.co.za</w:t>
        </w:r>
      </w:hyperlink>
      <w:r>
        <w:rPr>
          <w:rFonts w:ascii="Arial" w:eastAsia="Arial" w:hAnsi="Arial" w:cs="Arial"/>
          <w:color w:val="6B9F25"/>
          <w:szCs w:val="20"/>
        </w:rPr>
        <w:t xml:space="preserve">), or </w:t>
      </w:r>
      <w:r>
        <w:rPr>
          <w:rFonts w:ascii="Arial" w:eastAsia="Arial" w:hAnsi="Arial" w:cs="Arial"/>
          <w:color w:val="000000"/>
          <w:szCs w:val="20"/>
        </w:rPr>
        <w:t>P4 quality assurance certification (</w:t>
      </w:r>
      <w:hyperlink r:id="rId37">
        <w:r>
          <w:rPr>
            <w:rFonts w:ascii="Arial" w:eastAsia="Arial" w:hAnsi="Arial" w:cs="Arial"/>
            <w:color w:val="6B9F25"/>
            <w:szCs w:val="20"/>
            <w:u w:val="single"/>
          </w:rPr>
          <w:t>https://pqrs.co.za/the-pv-quality-assurance-program/</w:t>
        </w:r>
      </w:hyperlink>
      <w:r>
        <w:rPr>
          <w:rFonts w:ascii="Arial" w:eastAsia="Arial" w:hAnsi="Arial" w:cs="Arial"/>
          <w:color w:val="000000"/>
          <w:szCs w:val="20"/>
        </w:rPr>
        <w:t xml:space="preserve">). </w:t>
      </w:r>
      <w:bookmarkStart w:id="33" w:name="_Toc128033229"/>
    </w:p>
    <w:p w14:paraId="2B0A983D" w14:textId="77777777" w:rsidR="00FE10FB" w:rsidRDefault="00FE10FB" w:rsidP="00FE10FB">
      <w:pPr>
        <w:pBdr>
          <w:top w:val="nil"/>
          <w:left w:val="nil"/>
          <w:bottom w:val="nil"/>
          <w:right w:val="nil"/>
          <w:between w:val="nil"/>
        </w:pBdr>
        <w:spacing w:line="276" w:lineRule="auto"/>
        <w:jc w:val="both"/>
        <w:rPr>
          <w:rFonts w:ascii="Arial" w:eastAsia="Arial" w:hAnsi="Arial" w:cs="Arial"/>
          <w:color w:val="000000"/>
          <w:szCs w:val="20"/>
        </w:rPr>
      </w:pPr>
    </w:p>
    <w:p w14:paraId="43FC410C" w14:textId="40B2EBBD" w:rsidR="009045EB" w:rsidRDefault="0072593A" w:rsidP="00FE10FB">
      <w:pPr>
        <w:pBdr>
          <w:top w:val="nil"/>
          <w:left w:val="nil"/>
          <w:bottom w:val="nil"/>
          <w:right w:val="nil"/>
          <w:between w:val="nil"/>
        </w:pBdr>
        <w:spacing w:line="276" w:lineRule="auto"/>
        <w:jc w:val="both"/>
      </w:pPr>
      <w:r>
        <w:t>SSEG Sign-off on Commissioning</w:t>
      </w:r>
      <w:bookmarkEnd w:id="33"/>
    </w:p>
    <w:p w14:paraId="43FC410D" w14:textId="0849746B"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Until SANS 10142-1-2 ‘</w:t>
      </w:r>
      <w:r>
        <w:rPr>
          <w:rFonts w:ascii="Arial" w:eastAsia="Arial" w:hAnsi="Arial" w:cs="Arial"/>
          <w:i/>
          <w:color w:val="000000"/>
          <w:szCs w:val="20"/>
        </w:rPr>
        <w:t>The wiring of premises; Specific requirements for embedded generation installations connected to the low voltage distribution Network in South Africa</w:t>
      </w:r>
      <w:r>
        <w:rPr>
          <w:rFonts w:ascii="Arial" w:eastAsia="Arial" w:hAnsi="Arial" w:cs="Arial"/>
          <w:color w:val="000000"/>
          <w:szCs w:val="20"/>
        </w:rPr>
        <w:t>’ is published, upon commissioning, all SSEGs shall be signed off as follows:</w:t>
      </w:r>
    </w:p>
    <w:p w14:paraId="43FC410E" w14:textId="1BC4719B"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tbl>
      <w:tblPr>
        <w:tblStyle w:val="a8"/>
        <w:tblW w:w="9180" w:type="dxa"/>
        <w:tblBorders>
          <w:top w:val="single" w:sz="4" w:space="0" w:color="6990B2"/>
          <w:left w:val="single" w:sz="4" w:space="0" w:color="6990B2"/>
          <w:bottom w:val="single" w:sz="4" w:space="0" w:color="6990B2"/>
          <w:right w:val="single" w:sz="4" w:space="0" w:color="6990B2"/>
          <w:insideH w:val="single" w:sz="4" w:space="0" w:color="6990B2"/>
          <w:insideV w:val="single" w:sz="4" w:space="0" w:color="6990B2"/>
        </w:tblBorders>
        <w:tblLayout w:type="fixed"/>
        <w:tblLook w:val="0400" w:firstRow="0" w:lastRow="0" w:firstColumn="0" w:lastColumn="0" w:noHBand="0" w:noVBand="1"/>
      </w:tblPr>
      <w:tblGrid>
        <w:gridCol w:w="7933"/>
        <w:gridCol w:w="1247"/>
      </w:tblGrid>
      <w:tr w:rsidR="009045EB" w14:paraId="43FC4117" w14:textId="77777777">
        <w:trPr>
          <w:trHeight w:val="1742"/>
        </w:trPr>
        <w:tc>
          <w:tcPr>
            <w:tcW w:w="7933" w:type="dxa"/>
            <w:shd w:val="clear" w:color="auto" w:fill="FF0000"/>
          </w:tcPr>
          <w:p w14:paraId="43FC410F" w14:textId="590A5396" w:rsidR="009045EB" w:rsidRDefault="0072593A">
            <w:pPr>
              <w:pBdr>
                <w:top w:val="nil"/>
                <w:left w:val="nil"/>
                <w:bottom w:val="nil"/>
                <w:right w:val="nil"/>
                <w:between w:val="nil"/>
              </w:pBdr>
              <w:spacing w:before="0" w:after="0" w:line="276" w:lineRule="auto"/>
              <w:jc w:val="both"/>
              <w:rPr>
                <w:rFonts w:eastAsia="Arial" w:cs="Arial"/>
                <w:b/>
                <w:color w:val="FFFFFF"/>
                <w:sz w:val="20"/>
                <w:szCs w:val="20"/>
              </w:rPr>
            </w:pPr>
            <w:r>
              <w:rPr>
                <w:rFonts w:eastAsia="Arial" w:cs="Arial"/>
                <w:b/>
                <w:color w:val="FFFFFF"/>
                <w:sz w:val="20"/>
                <w:szCs w:val="20"/>
              </w:rPr>
              <w:t xml:space="preserve">SIGN-OFF OPTION 1: </w:t>
            </w:r>
          </w:p>
          <w:p w14:paraId="43FC4110"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 xml:space="preserve">Up to 30kVA - </w:t>
            </w:r>
          </w:p>
          <w:p w14:paraId="43FC4111"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(for PV) Industry Accredited Installer* signoff</w:t>
            </w:r>
          </w:p>
          <w:p w14:paraId="43FC4112"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OR</w:t>
            </w:r>
          </w:p>
          <w:p w14:paraId="43FC4113"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ECSA registered Pr Eng or Pr Tech Eng</w:t>
            </w:r>
          </w:p>
          <w:p w14:paraId="43FC4114"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Over 30kVA –</w:t>
            </w:r>
          </w:p>
          <w:p w14:paraId="43FC4115"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ECSA registered Pr Eng or Pr Tech Eng</w:t>
            </w:r>
          </w:p>
        </w:tc>
        <w:tc>
          <w:tcPr>
            <w:tcW w:w="1247" w:type="dxa"/>
          </w:tcPr>
          <w:p w14:paraId="43FC4116" w14:textId="1875403E" w:rsidR="009045EB" w:rsidRDefault="0072593A">
            <w:pPr>
              <w:tabs>
                <w:tab w:val="left" w:pos="954"/>
              </w:tabs>
              <w:jc w:val="center"/>
              <w:rPr>
                <w:rFonts w:eastAsia="Arial" w:cs="Arial"/>
                <w:b/>
                <w:i/>
              </w:rPr>
            </w:pPr>
            <w:r>
              <w:rPr>
                <w:rFonts w:eastAsia="Arial" w:cs="Arial"/>
                <w:b/>
                <w:i/>
                <w:color w:val="BFBFBF"/>
              </w:rPr>
              <w:t>Tick chosen option</w:t>
            </w:r>
          </w:p>
        </w:tc>
      </w:tr>
      <w:tr w:rsidR="009045EB" w14:paraId="43FC4120" w14:textId="77777777">
        <w:trPr>
          <w:trHeight w:val="1696"/>
        </w:trPr>
        <w:tc>
          <w:tcPr>
            <w:tcW w:w="7933" w:type="dxa"/>
            <w:shd w:val="clear" w:color="auto" w:fill="FF0000"/>
          </w:tcPr>
          <w:p w14:paraId="43FC4118" w14:textId="77777777" w:rsidR="009045EB" w:rsidRDefault="0072593A">
            <w:pPr>
              <w:pBdr>
                <w:top w:val="nil"/>
                <w:left w:val="nil"/>
                <w:bottom w:val="nil"/>
                <w:right w:val="nil"/>
                <w:between w:val="nil"/>
              </w:pBdr>
              <w:spacing w:before="0" w:after="0" w:line="276" w:lineRule="auto"/>
              <w:jc w:val="both"/>
              <w:rPr>
                <w:rFonts w:eastAsia="Arial" w:cs="Arial"/>
                <w:b/>
                <w:color w:val="FFFFFF"/>
                <w:sz w:val="20"/>
                <w:szCs w:val="20"/>
              </w:rPr>
            </w:pPr>
            <w:r>
              <w:rPr>
                <w:rFonts w:eastAsia="Arial" w:cs="Arial"/>
                <w:b/>
                <w:color w:val="FFFFFF"/>
                <w:sz w:val="20"/>
                <w:szCs w:val="20"/>
              </w:rPr>
              <w:t xml:space="preserve">SIGN-OFF OPTION 2: </w:t>
            </w:r>
          </w:p>
          <w:p w14:paraId="43FC4119"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 xml:space="preserve">Up to 100kVA - </w:t>
            </w:r>
          </w:p>
          <w:p w14:paraId="43FC411A"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(for PV) Industry Accredited Installer* signoff</w:t>
            </w:r>
          </w:p>
          <w:p w14:paraId="43FC411B"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OR</w:t>
            </w:r>
          </w:p>
          <w:p w14:paraId="43FC411C"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ECSA registered Pr Eng or Pr Tech Eng</w:t>
            </w:r>
          </w:p>
          <w:p w14:paraId="43FC411D"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Over 100kVA –</w:t>
            </w:r>
          </w:p>
          <w:p w14:paraId="43FC411E"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ECSA registered Pr Eng or Pr Tech Eng</w:t>
            </w:r>
          </w:p>
        </w:tc>
        <w:tc>
          <w:tcPr>
            <w:tcW w:w="1247" w:type="dxa"/>
          </w:tcPr>
          <w:p w14:paraId="43FC411F" w14:textId="77777777" w:rsidR="009045EB" w:rsidRDefault="0072593A">
            <w:pPr>
              <w:tabs>
                <w:tab w:val="left" w:pos="954"/>
              </w:tabs>
              <w:jc w:val="center"/>
              <w:rPr>
                <w:rFonts w:eastAsia="Arial" w:cs="Arial"/>
                <w:b/>
                <w:i/>
                <w:color w:val="BFBFBF"/>
              </w:rPr>
            </w:pPr>
            <w:r>
              <w:rPr>
                <w:rFonts w:eastAsia="Arial" w:cs="Arial"/>
                <w:b/>
                <w:i/>
                <w:color w:val="BFBFBF"/>
              </w:rPr>
              <w:t>Tick chosen option</w:t>
            </w:r>
          </w:p>
        </w:tc>
      </w:tr>
      <w:tr w:rsidR="009045EB" w14:paraId="43FC4127" w14:textId="77777777">
        <w:trPr>
          <w:trHeight w:val="1253"/>
        </w:trPr>
        <w:tc>
          <w:tcPr>
            <w:tcW w:w="7933" w:type="dxa"/>
            <w:shd w:val="clear" w:color="auto" w:fill="FF0000"/>
          </w:tcPr>
          <w:p w14:paraId="43FC4121" w14:textId="77777777" w:rsidR="009045EB" w:rsidRDefault="0072593A">
            <w:pPr>
              <w:pBdr>
                <w:top w:val="nil"/>
                <w:left w:val="nil"/>
                <w:bottom w:val="nil"/>
                <w:right w:val="nil"/>
                <w:between w:val="nil"/>
              </w:pBdr>
              <w:spacing w:before="0" w:after="0" w:line="276" w:lineRule="auto"/>
              <w:jc w:val="both"/>
              <w:rPr>
                <w:rFonts w:eastAsia="Arial" w:cs="Arial"/>
                <w:b/>
                <w:color w:val="FFFFFF"/>
                <w:sz w:val="20"/>
                <w:szCs w:val="20"/>
              </w:rPr>
            </w:pPr>
            <w:r>
              <w:rPr>
                <w:rFonts w:eastAsia="Arial" w:cs="Arial"/>
                <w:b/>
                <w:color w:val="FFFFFF"/>
                <w:sz w:val="20"/>
                <w:szCs w:val="20"/>
              </w:rPr>
              <w:t xml:space="preserve">SIGN-OFF OPTION 3: </w:t>
            </w:r>
          </w:p>
          <w:p w14:paraId="43FC4122"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Up to 1MVA (all SSEG)</w:t>
            </w:r>
          </w:p>
          <w:p w14:paraId="43FC4123"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(for PV) Industry Accredited Installer* holder signoff</w:t>
            </w:r>
          </w:p>
          <w:p w14:paraId="43FC4124"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OR</w:t>
            </w:r>
          </w:p>
          <w:p w14:paraId="43FC4125"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ECSA registered Pr Eng or Pr Tech Eng on all systems</w:t>
            </w:r>
          </w:p>
        </w:tc>
        <w:tc>
          <w:tcPr>
            <w:tcW w:w="1247" w:type="dxa"/>
          </w:tcPr>
          <w:p w14:paraId="43FC4126" w14:textId="77777777" w:rsidR="009045EB" w:rsidRDefault="0072593A">
            <w:pPr>
              <w:tabs>
                <w:tab w:val="left" w:pos="954"/>
              </w:tabs>
              <w:jc w:val="center"/>
              <w:rPr>
                <w:rFonts w:eastAsia="Arial" w:cs="Arial"/>
                <w:b/>
                <w:i/>
                <w:color w:val="BFBFBF"/>
              </w:rPr>
            </w:pPr>
            <w:r>
              <w:rPr>
                <w:rFonts w:eastAsia="Arial" w:cs="Arial"/>
                <w:b/>
                <w:i/>
                <w:color w:val="BFBFBF"/>
              </w:rPr>
              <w:t>Tick chosen option</w:t>
            </w:r>
          </w:p>
        </w:tc>
      </w:tr>
      <w:tr w:rsidR="009045EB" w14:paraId="43FC412C" w14:textId="77777777">
        <w:tc>
          <w:tcPr>
            <w:tcW w:w="7933" w:type="dxa"/>
            <w:shd w:val="clear" w:color="auto" w:fill="FF0000"/>
          </w:tcPr>
          <w:p w14:paraId="43FC4128" w14:textId="77777777" w:rsidR="009045EB" w:rsidRDefault="0072593A">
            <w:pPr>
              <w:pBdr>
                <w:top w:val="nil"/>
                <w:left w:val="nil"/>
                <w:bottom w:val="nil"/>
                <w:right w:val="nil"/>
                <w:between w:val="nil"/>
              </w:pBdr>
              <w:spacing w:before="0" w:after="0" w:line="276" w:lineRule="auto"/>
              <w:jc w:val="both"/>
              <w:rPr>
                <w:rFonts w:eastAsia="Arial" w:cs="Arial"/>
                <w:b/>
                <w:color w:val="FFFFFF"/>
                <w:sz w:val="20"/>
                <w:szCs w:val="20"/>
              </w:rPr>
            </w:pPr>
            <w:r>
              <w:rPr>
                <w:rFonts w:eastAsia="Arial" w:cs="Arial"/>
                <w:b/>
                <w:color w:val="FFFFFF"/>
                <w:sz w:val="20"/>
                <w:szCs w:val="20"/>
              </w:rPr>
              <w:t xml:space="preserve">SIGN-OFF OPTION 4: </w:t>
            </w:r>
          </w:p>
          <w:p w14:paraId="43FC4129"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Up to 1MVA (all SSEG)</w:t>
            </w:r>
          </w:p>
          <w:p w14:paraId="43FC412A" w14:textId="77777777" w:rsidR="009045EB" w:rsidRDefault="0072593A">
            <w:pPr>
              <w:pBdr>
                <w:top w:val="nil"/>
                <w:left w:val="nil"/>
                <w:bottom w:val="nil"/>
                <w:right w:val="nil"/>
                <w:between w:val="nil"/>
              </w:pBdr>
              <w:spacing w:before="0" w:after="0" w:line="276" w:lineRule="auto"/>
              <w:ind w:left="720"/>
              <w:jc w:val="both"/>
              <w:rPr>
                <w:rFonts w:eastAsia="Arial" w:cs="Arial"/>
                <w:color w:val="FFFFFF"/>
                <w:sz w:val="20"/>
                <w:szCs w:val="20"/>
              </w:rPr>
            </w:pPr>
            <w:r>
              <w:rPr>
                <w:rFonts w:eastAsia="Arial" w:cs="Arial"/>
                <w:color w:val="FFFFFF"/>
                <w:sz w:val="20"/>
                <w:szCs w:val="20"/>
              </w:rPr>
              <w:t>ECSA registered Pr Eng or Pr Tech Eng on all systems</w:t>
            </w:r>
          </w:p>
        </w:tc>
        <w:tc>
          <w:tcPr>
            <w:tcW w:w="1247" w:type="dxa"/>
          </w:tcPr>
          <w:p w14:paraId="43FC412B" w14:textId="77777777" w:rsidR="009045EB" w:rsidRDefault="0072593A">
            <w:pPr>
              <w:tabs>
                <w:tab w:val="left" w:pos="954"/>
              </w:tabs>
              <w:jc w:val="center"/>
              <w:rPr>
                <w:rFonts w:eastAsia="Arial" w:cs="Arial"/>
                <w:b/>
                <w:i/>
                <w:color w:val="BFBFBF"/>
              </w:rPr>
            </w:pPr>
            <w:r>
              <w:rPr>
                <w:rFonts w:eastAsia="Arial" w:cs="Arial"/>
                <w:b/>
                <w:i/>
                <w:color w:val="BFBFBF"/>
              </w:rPr>
              <w:t>Tick chosen option</w:t>
            </w:r>
          </w:p>
        </w:tc>
      </w:tr>
      <w:tr w:rsidR="009045EB" w14:paraId="43FC4133" w14:textId="77777777">
        <w:tc>
          <w:tcPr>
            <w:tcW w:w="7933" w:type="dxa"/>
            <w:shd w:val="clear" w:color="auto" w:fill="FF9966"/>
          </w:tcPr>
          <w:p w14:paraId="43FC412D"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b/>
                <w:color w:val="FFFFFF"/>
                <w:sz w:val="20"/>
                <w:szCs w:val="20"/>
              </w:rPr>
              <w:t>SIGN-OFF OPTION 5</w:t>
            </w:r>
            <w:r>
              <w:rPr>
                <w:rFonts w:eastAsia="Arial" w:cs="Arial"/>
                <w:color w:val="FFFFFF"/>
                <w:sz w:val="20"/>
                <w:szCs w:val="20"/>
              </w:rPr>
              <w:t xml:space="preserve">:  (own text) </w:t>
            </w:r>
          </w:p>
          <w:p w14:paraId="43FC412E"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p w14:paraId="43FC412F"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p w14:paraId="43FC4130"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p w14:paraId="43FC4131"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tc>
        <w:tc>
          <w:tcPr>
            <w:tcW w:w="1247" w:type="dxa"/>
          </w:tcPr>
          <w:p w14:paraId="43FC4132" w14:textId="77777777" w:rsidR="009045EB" w:rsidRDefault="0072593A">
            <w:pPr>
              <w:tabs>
                <w:tab w:val="left" w:pos="954"/>
              </w:tabs>
              <w:jc w:val="center"/>
              <w:rPr>
                <w:rFonts w:eastAsia="Arial" w:cs="Arial"/>
                <w:b/>
              </w:rPr>
            </w:pPr>
            <w:r>
              <w:rPr>
                <w:rFonts w:eastAsia="Arial" w:cs="Arial"/>
                <w:b/>
                <w:i/>
                <w:color w:val="BFBFBF"/>
              </w:rPr>
              <w:t>Tick chosen option</w:t>
            </w:r>
          </w:p>
        </w:tc>
      </w:tr>
    </w:tbl>
    <w:p w14:paraId="43FC4134" w14:textId="77777777" w:rsidR="009045EB" w:rsidRDefault="0072593A">
      <w:pPr>
        <w:pBdr>
          <w:top w:val="nil"/>
          <w:left w:val="nil"/>
          <w:bottom w:val="nil"/>
          <w:right w:val="nil"/>
          <w:between w:val="nil"/>
        </w:pBdr>
        <w:spacing w:line="276" w:lineRule="auto"/>
        <w:jc w:val="both"/>
        <w:rPr>
          <w:rFonts w:ascii="Arial" w:eastAsia="Arial" w:hAnsi="Arial" w:cs="Arial"/>
          <w:i/>
          <w:color w:val="000000"/>
          <w:szCs w:val="20"/>
        </w:rPr>
      </w:pPr>
      <w:r>
        <w:rPr>
          <w:rFonts w:ascii="Arial" w:eastAsia="Arial" w:hAnsi="Arial" w:cs="Arial"/>
          <w:i/>
          <w:color w:val="000000"/>
          <w:sz w:val="18"/>
          <w:szCs w:val="18"/>
        </w:rPr>
        <w:t>* - such as PV Green Card</w:t>
      </w:r>
    </w:p>
    <w:p w14:paraId="43FC4135"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36"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Upon the publishing and implementation of the SANS10142-1-2, a registered person in terms of the Electrical Installation Regulations (1993) with appropriate knowledge and experience in applying the SANS10142-1-2 (acceptable to the Municipality) will be adequate to sign-off all SSEGs. </w:t>
      </w:r>
    </w:p>
    <w:p w14:paraId="43FC4137" w14:textId="385EF63B" w:rsidR="009045EB" w:rsidRDefault="0072593A">
      <w:pPr>
        <w:pStyle w:val="Heading2"/>
        <w:numPr>
          <w:ilvl w:val="1"/>
          <w:numId w:val="12"/>
        </w:numPr>
      </w:pPr>
      <w:bookmarkStart w:id="34" w:name="_Ref126600593"/>
      <w:bookmarkStart w:id="35" w:name="_Toc128033230"/>
      <w:r>
        <w:lastRenderedPageBreak/>
        <w:t>Decommission of SSEG system</w:t>
      </w:r>
      <w:r w:rsidR="00C84CB0">
        <w:t>.</w:t>
      </w:r>
      <w:bookmarkEnd w:id="34"/>
      <w:bookmarkEnd w:id="35"/>
    </w:p>
    <w:p w14:paraId="43FC4138"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Municipality requires notice of any SSEG installation which has been decommissioned. The SSEG installation must, at the owners' cost, be disconnected from the municipal electrical network by the removal of the wiring that connects the SSEG with the municipal electrical network and a decommissioning report filed (on the prescribed form) – including the provision of a </w:t>
      </w:r>
      <w:r>
        <w:rPr>
          <w:rFonts w:ascii="Arial" w:eastAsia="Arial" w:hAnsi="Arial" w:cs="Arial"/>
          <w:color w:val="000000"/>
          <w:szCs w:val="20"/>
          <w:u w:val="single"/>
        </w:rPr>
        <w:t>Certificate of Compliance to confirm disconnection</w:t>
      </w:r>
      <w:r>
        <w:rPr>
          <w:rFonts w:ascii="Arial" w:eastAsia="Arial" w:hAnsi="Arial" w:cs="Arial"/>
          <w:color w:val="000000"/>
          <w:szCs w:val="20"/>
        </w:rPr>
        <w:t xml:space="preserve">. </w:t>
      </w:r>
    </w:p>
    <w:p w14:paraId="43FC4139" w14:textId="14ED9C3D" w:rsidR="009045EB" w:rsidRDefault="0072593A">
      <w:pPr>
        <w:pStyle w:val="Heading2"/>
        <w:numPr>
          <w:ilvl w:val="1"/>
          <w:numId w:val="12"/>
        </w:numPr>
      </w:pPr>
      <w:bookmarkStart w:id="36" w:name="_Toc128033231"/>
      <w:r>
        <w:t>Eskom grid connection</w:t>
      </w:r>
      <w:bookmarkEnd w:id="36"/>
    </w:p>
    <w:p w14:paraId="43FC413A"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Customers residing within the municipal boundaries, but located in Eskom’s area of supply, need to apply to Eskom for consent to connect the SSEG installation to the Eskom electrical grid. The </w:t>
      </w:r>
      <w:r>
        <w:rPr>
          <w:rFonts w:ascii="Arial" w:eastAsia="Arial" w:hAnsi="Arial" w:cs="Arial"/>
          <w:color w:val="000000"/>
          <w:szCs w:val="20"/>
          <w:u w:val="single"/>
        </w:rPr>
        <w:t>municipality will not be involved in this process</w:t>
      </w:r>
      <w:r>
        <w:rPr>
          <w:rFonts w:ascii="Arial" w:eastAsia="Arial" w:hAnsi="Arial" w:cs="Arial"/>
          <w:color w:val="000000"/>
          <w:szCs w:val="20"/>
        </w:rPr>
        <w:t>.</w:t>
      </w:r>
    </w:p>
    <w:p w14:paraId="43FC413B" w14:textId="0503EED0" w:rsidR="009045EB" w:rsidRDefault="0072593A">
      <w:pPr>
        <w:pStyle w:val="Heading2"/>
        <w:numPr>
          <w:ilvl w:val="1"/>
          <w:numId w:val="12"/>
        </w:numPr>
      </w:pPr>
      <w:bookmarkStart w:id="37" w:name="_Toc128033232"/>
      <w:r>
        <w:t>SSEG applications from sub-tenants, complex residents or other non-municipal customers</w:t>
      </w:r>
      <w:r w:rsidR="00C84CB0">
        <w:t>.</w:t>
      </w:r>
      <w:bookmarkEnd w:id="37"/>
    </w:p>
    <w:p w14:paraId="43FC413C" w14:textId="49D4D1BC"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w:t>
      </w:r>
      <w:r>
        <w:rPr>
          <w:rFonts w:ascii="Arial" w:eastAsia="Arial" w:hAnsi="Arial" w:cs="Arial"/>
          <w:color w:val="000000"/>
          <w:szCs w:val="20"/>
          <w:u w:val="single"/>
        </w:rPr>
        <w:t>municipality will only engage with applications from their existing or new customers</w:t>
      </w:r>
      <w:r>
        <w:rPr>
          <w:rFonts w:ascii="Arial" w:eastAsia="Arial" w:hAnsi="Arial" w:cs="Arial"/>
          <w:color w:val="000000"/>
          <w:szCs w:val="20"/>
        </w:rPr>
        <w:t xml:space="preserve">. Where an SSEG installation is intended but the person purchases electricity from a re-seller (e.g. landlord/lady, complex body corporate), for example, not directly from the municipality, the application will need to come from the re-seller who is a </w:t>
      </w:r>
      <w:r w:rsidR="00A11160">
        <w:rPr>
          <w:rFonts w:ascii="Arial" w:eastAsia="Arial" w:hAnsi="Arial" w:cs="Arial"/>
          <w:color w:val="000000"/>
          <w:szCs w:val="20"/>
        </w:rPr>
        <w:t xml:space="preserve">registered </w:t>
      </w:r>
      <w:r>
        <w:rPr>
          <w:rFonts w:ascii="Arial" w:eastAsia="Arial" w:hAnsi="Arial" w:cs="Arial"/>
          <w:color w:val="000000"/>
          <w:szCs w:val="20"/>
        </w:rPr>
        <w:t xml:space="preserve">municipal electricity customer. </w:t>
      </w:r>
    </w:p>
    <w:p w14:paraId="43FC413D" w14:textId="515206D8" w:rsidR="009045EB" w:rsidRDefault="0072593A">
      <w:pPr>
        <w:pStyle w:val="Heading2"/>
        <w:numPr>
          <w:ilvl w:val="1"/>
          <w:numId w:val="12"/>
        </w:numPr>
      </w:pPr>
      <w:bookmarkStart w:id="38" w:name="_Toc128033233"/>
      <w:r>
        <w:t>Off-grid system</w:t>
      </w:r>
      <w:bookmarkEnd w:id="38"/>
    </w:p>
    <w:p w14:paraId="43FC413E" w14:textId="25892E19"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Stand-alone generators (not connected to the municipal electrical network in anyway) </w:t>
      </w:r>
      <w:r>
        <w:rPr>
          <w:rFonts w:ascii="Arial" w:eastAsia="Arial" w:hAnsi="Arial" w:cs="Arial"/>
          <w:color w:val="000000"/>
          <w:szCs w:val="20"/>
          <w:u w:val="single"/>
        </w:rPr>
        <w:t>do not need permission from the Municipal Electricity authority</w:t>
      </w:r>
      <w:r>
        <w:rPr>
          <w:rFonts w:ascii="Arial" w:eastAsia="Arial" w:hAnsi="Arial" w:cs="Arial"/>
          <w:color w:val="000000"/>
          <w:szCs w:val="20"/>
        </w:rPr>
        <w:t>. However, approvals from other Departments may still be necessary (e.g. Building</w:t>
      </w:r>
      <w:r w:rsidR="0018467F">
        <w:rPr>
          <w:rFonts w:ascii="Arial" w:eastAsia="Arial" w:hAnsi="Arial" w:cs="Arial"/>
          <w:color w:val="000000"/>
          <w:szCs w:val="20"/>
        </w:rPr>
        <w:t xml:space="preserve"> Control Section</w:t>
      </w:r>
      <w:r>
        <w:rPr>
          <w:rFonts w:ascii="Arial" w:eastAsia="Arial" w:hAnsi="Arial" w:cs="Arial"/>
          <w:color w:val="000000"/>
          <w:szCs w:val="20"/>
        </w:rPr>
        <w:t>), and it is the responsibility of the owner to comply with any such requirements.</w:t>
      </w:r>
    </w:p>
    <w:p w14:paraId="43FC413F" w14:textId="77777777" w:rsidR="009045EB" w:rsidRDefault="0072593A">
      <w:pPr>
        <w:pStyle w:val="Heading2"/>
        <w:numPr>
          <w:ilvl w:val="1"/>
          <w:numId w:val="12"/>
        </w:numPr>
      </w:pPr>
      <w:bookmarkStart w:id="39" w:name="_Toc128033234"/>
      <w:r>
        <w:t>Advice for the customer</w:t>
      </w:r>
      <w:bookmarkEnd w:id="39"/>
    </w:p>
    <w:p w14:paraId="43FC4140" w14:textId="77777777" w:rsidR="009045EB" w:rsidRDefault="0072593A">
      <w:pPr>
        <w:pStyle w:val="Heading3"/>
        <w:numPr>
          <w:ilvl w:val="2"/>
          <w:numId w:val="12"/>
        </w:numPr>
      </w:pPr>
      <w:bookmarkStart w:id="40" w:name="_Toc128033235"/>
      <w:r>
        <w:t>Load profile management to maximise benefit to the customer</w:t>
      </w:r>
      <w:bookmarkEnd w:id="40"/>
    </w:p>
    <w:p w14:paraId="43FC4141"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Customers will generally find it most financially beneficial to ensure that they utilise as much of the generated electricity as they can and avoid or minimise export/reverse power flow. With solar PV SSEG, for example, with a residential SSEG installation, loads such as geysers and pool pumps could be shifted to the middle of the day when solar generation is typically at its highest – between mid-morning and mid-afternoon.</w:t>
      </w:r>
    </w:p>
    <w:p w14:paraId="43FC4142"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43"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noProof/>
          <w:color w:val="000000"/>
          <w:szCs w:val="20"/>
        </w:rPr>
        <w:drawing>
          <wp:inline distT="0" distB="0" distL="0" distR="0" wp14:anchorId="43FC42D9" wp14:editId="43FC42DA">
            <wp:extent cx="4411065" cy="2154941"/>
            <wp:effectExtent l="0" t="0" r="0" b="0"/>
            <wp:docPr id="10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4411065" cy="2154941"/>
                    </a:xfrm>
                    <a:prstGeom prst="rect">
                      <a:avLst/>
                    </a:prstGeom>
                    <a:ln/>
                  </pic:spPr>
                </pic:pic>
              </a:graphicData>
            </a:graphic>
          </wp:inline>
        </w:drawing>
      </w:r>
    </w:p>
    <w:p w14:paraId="43FC4144" w14:textId="77777777" w:rsidR="009045EB" w:rsidRDefault="0072593A">
      <w:pPr>
        <w:pBdr>
          <w:top w:val="nil"/>
          <w:left w:val="nil"/>
          <w:bottom w:val="nil"/>
          <w:right w:val="nil"/>
          <w:between w:val="nil"/>
        </w:pBdr>
        <w:spacing w:before="120" w:after="120"/>
        <w:ind w:left="357" w:hanging="357"/>
        <w:rPr>
          <w:rFonts w:ascii="Arial" w:eastAsia="Arial" w:hAnsi="Arial" w:cs="Arial"/>
          <w:i/>
          <w:color w:val="0098D3"/>
          <w:szCs w:val="20"/>
        </w:rPr>
      </w:pPr>
      <w:r>
        <w:rPr>
          <w:rFonts w:ascii="Arial" w:eastAsia="Arial" w:hAnsi="Arial" w:cs="Arial"/>
          <w:i/>
          <w:color w:val="0098D3"/>
          <w:szCs w:val="20"/>
        </w:rPr>
        <w:t>Figure 1: Good alignment between load profile and SSEG (PV) generation</w:t>
      </w:r>
    </w:p>
    <w:p w14:paraId="43FC4145" w14:textId="77777777" w:rsidR="009045EB" w:rsidRDefault="0072593A">
      <w:pPr>
        <w:pBdr>
          <w:top w:val="nil"/>
          <w:left w:val="nil"/>
          <w:bottom w:val="nil"/>
          <w:right w:val="nil"/>
          <w:between w:val="nil"/>
        </w:pBdr>
        <w:spacing w:before="120" w:after="120"/>
        <w:ind w:left="357" w:hanging="357"/>
        <w:jc w:val="both"/>
        <w:rPr>
          <w:rFonts w:ascii="Arial" w:eastAsia="Arial" w:hAnsi="Arial" w:cs="Arial"/>
          <w:i/>
          <w:color w:val="75B5E4"/>
          <w:szCs w:val="20"/>
        </w:rPr>
      </w:pPr>
      <w:r>
        <w:rPr>
          <w:rFonts w:ascii="Arial" w:eastAsia="Arial" w:hAnsi="Arial" w:cs="Arial"/>
          <w:i/>
          <w:noProof/>
          <w:color w:val="75B5E4"/>
          <w:szCs w:val="20"/>
        </w:rPr>
        <w:lastRenderedPageBreak/>
        <w:drawing>
          <wp:inline distT="0" distB="0" distL="0" distR="0" wp14:anchorId="43FC42DB" wp14:editId="43FC42DC">
            <wp:extent cx="4410154" cy="2364065"/>
            <wp:effectExtent l="0" t="0" r="0" b="0"/>
            <wp:docPr id="10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4410154" cy="2364065"/>
                    </a:xfrm>
                    <a:prstGeom prst="rect">
                      <a:avLst/>
                    </a:prstGeom>
                    <a:ln/>
                  </pic:spPr>
                </pic:pic>
              </a:graphicData>
            </a:graphic>
          </wp:inline>
        </w:drawing>
      </w:r>
    </w:p>
    <w:p w14:paraId="43FC4146" w14:textId="02ED4F0C" w:rsidR="009045EB" w:rsidRDefault="0072593A">
      <w:pPr>
        <w:pBdr>
          <w:top w:val="nil"/>
          <w:left w:val="nil"/>
          <w:bottom w:val="nil"/>
          <w:right w:val="nil"/>
          <w:between w:val="nil"/>
        </w:pBdr>
        <w:spacing w:before="120" w:after="120"/>
        <w:ind w:left="357" w:hanging="357"/>
        <w:rPr>
          <w:rFonts w:ascii="Arial" w:eastAsia="Arial" w:hAnsi="Arial" w:cs="Arial"/>
          <w:i/>
          <w:color w:val="0098D3"/>
          <w:szCs w:val="20"/>
        </w:rPr>
      </w:pPr>
      <w:r>
        <w:rPr>
          <w:rFonts w:ascii="Arial" w:eastAsia="Arial" w:hAnsi="Arial" w:cs="Arial"/>
          <w:i/>
          <w:color w:val="0098D3"/>
          <w:szCs w:val="20"/>
        </w:rPr>
        <w:t>Figure 2: Poor alignment between load profile and SSEG (PV) generation).</w:t>
      </w:r>
    </w:p>
    <w:p w14:paraId="43FC4147" w14:textId="18180E40" w:rsidR="009045EB" w:rsidRDefault="0072593A">
      <w:pPr>
        <w:pStyle w:val="Heading3"/>
        <w:numPr>
          <w:ilvl w:val="2"/>
          <w:numId w:val="12"/>
        </w:numPr>
      </w:pPr>
      <w:bookmarkStart w:id="41" w:name="_Toc128033236"/>
      <w:r>
        <w:t>Roof strength for PV installations</w:t>
      </w:r>
      <w:bookmarkEnd w:id="41"/>
    </w:p>
    <w:p w14:paraId="43FC4148" w14:textId="2DAC7308" w:rsidR="009045EB" w:rsidRDefault="0072593A">
      <w:pPr>
        <w:pBdr>
          <w:top w:val="nil"/>
          <w:left w:val="nil"/>
          <w:bottom w:val="nil"/>
          <w:right w:val="nil"/>
          <w:between w:val="nil"/>
        </w:pBdr>
        <w:spacing w:line="276" w:lineRule="auto"/>
        <w:jc w:val="both"/>
        <w:rPr>
          <w:rFonts w:ascii="Arial" w:eastAsia="Arial" w:hAnsi="Arial" w:cs="Arial"/>
          <w:color w:val="000000"/>
          <w:szCs w:val="20"/>
          <w:u w:val="single"/>
        </w:rPr>
      </w:pPr>
      <w:r>
        <w:rPr>
          <w:rFonts w:ascii="Arial" w:eastAsia="Arial" w:hAnsi="Arial" w:cs="Arial"/>
          <w:color w:val="000000"/>
          <w:szCs w:val="20"/>
        </w:rPr>
        <w:t xml:space="preserve">Customers are responsible to ensure that their installer has checked the load (weight) bearing capacity of the roof on which the PV panel installation is to take place.  </w:t>
      </w:r>
      <w:r w:rsidR="001C7695">
        <w:rPr>
          <w:rFonts w:ascii="Arial" w:eastAsia="Arial" w:hAnsi="Arial" w:cs="Arial"/>
          <w:color w:val="000000"/>
          <w:szCs w:val="20"/>
        </w:rPr>
        <w:t>T</w:t>
      </w:r>
      <w:r>
        <w:rPr>
          <w:rFonts w:ascii="Arial" w:eastAsia="Arial" w:hAnsi="Arial" w:cs="Arial"/>
          <w:color w:val="000000"/>
          <w:szCs w:val="20"/>
        </w:rPr>
        <w:t xml:space="preserve">his may involve obtaining an engineer’s report on the roof strength.  </w:t>
      </w:r>
      <w:r>
        <w:rPr>
          <w:rFonts w:ascii="Arial" w:eastAsia="Arial" w:hAnsi="Arial" w:cs="Arial"/>
          <w:color w:val="000000"/>
          <w:szCs w:val="20"/>
          <w:u w:val="single"/>
        </w:rPr>
        <w:t>Note that in normal circumstances roof design strength is adequate to accommodate PV panels.</w:t>
      </w:r>
    </w:p>
    <w:p w14:paraId="43FC4149" w14:textId="77777777" w:rsidR="009045EB" w:rsidRDefault="0072593A">
      <w:pPr>
        <w:pStyle w:val="Heading3"/>
        <w:numPr>
          <w:ilvl w:val="2"/>
          <w:numId w:val="12"/>
        </w:numPr>
      </w:pPr>
      <w:bookmarkStart w:id="42" w:name="_Toc128033237"/>
      <w:r>
        <w:t>Installer experience and accreditation</w:t>
      </w:r>
      <w:bookmarkEnd w:id="42"/>
    </w:p>
    <w:p w14:paraId="43FC414A"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Customers are advised to check that the installer they intend to use has adequate competence and experience to undertake such projects.  For solar PV SSEG third party quality assurances such as PV</w:t>
      </w:r>
      <w:r>
        <w:rPr>
          <w:rFonts w:ascii="Arial" w:eastAsia="Arial" w:hAnsi="Arial" w:cs="Arial"/>
          <w:color w:val="000000"/>
          <w:szCs w:val="20"/>
          <w:u w:val="single"/>
        </w:rPr>
        <w:t xml:space="preserve"> </w:t>
      </w:r>
      <w:r>
        <w:rPr>
          <w:rFonts w:ascii="Arial" w:eastAsia="Arial" w:hAnsi="Arial" w:cs="Arial"/>
          <w:color w:val="000000"/>
          <w:szCs w:val="20"/>
        </w:rPr>
        <w:t xml:space="preserve">Green Card or P4 can be used: </w:t>
      </w:r>
    </w:p>
    <w:p w14:paraId="43FC414B" w14:textId="79C66DA8" w:rsidR="009045EB" w:rsidRDefault="0072593A">
      <w:pPr>
        <w:numPr>
          <w:ilvl w:val="0"/>
          <w:numId w:val="14"/>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PV Green Card: A SAPVIA (South African Photovoltaic Industries Association) endorsed programme to ensure the quality and safety of PV installations (</w:t>
      </w:r>
      <w:hyperlink r:id="rId40">
        <w:r>
          <w:rPr>
            <w:rFonts w:ascii="Arial" w:eastAsia="Arial" w:hAnsi="Arial" w:cs="Arial"/>
            <w:color w:val="6B9F25"/>
            <w:szCs w:val="20"/>
            <w:u w:val="single"/>
          </w:rPr>
          <w:t>www.pvgreencard.co.za</w:t>
        </w:r>
      </w:hyperlink>
      <w:r>
        <w:rPr>
          <w:rFonts w:ascii="Arial" w:eastAsia="Arial" w:hAnsi="Arial" w:cs="Arial"/>
          <w:color w:val="6B9F25"/>
          <w:szCs w:val="20"/>
          <w:u w:val="single"/>
        </w:rPr>
        <w:t>).</w:t>
      </w:r>
      <w:r>
        <w:rPr>
          <w:rFonts w:ascii="Arial" w:eastAsia="Arial" w:hAnsi="Arial" w:cs="Arial"/>
          <w:color w:val="000000"/>
          <w:szCs w:val="20"/>
        </w:rPr>
        <w:t xml:space="preserve"> </w:t>
      </w:r>
    </w:p>
    <w:p w14:paraId="43FC414C" w14:textId="12A5B979" w:rsidR="009045EB" w:rsidRDefault="0072593A">
      <w:pPr>
        <w:numPr>
          <w:ilvl w:val="0"/>
          <w:numId w:val="14"/>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P4 quality assurance certification (</w:t>
      </w:r>
      <w:hyperlink r:id="rId41">
        <w:r>
          <w:rPr>
            <w:rFonts w:ascii="Arial" w:eastAsia="Arial" w:hAnsi="Arial" w:cs="Arial"/>
            <w:color w:val="6B9F25"/>
            <w:szCs w:val="20"/>
            <w:u w:val="single"/>
          </w:rPr>
          <w:t>https://pqrs.co.za/the-pv-quality-assurance-program/</w:t>
        </w:r>
      </w:hyperlink>
      <w:r>
        <w:rPr>
          <w:rFonts w:ascii="Arial" w:eastAsia="Arial" w:hAnsi="Arial" w:cs="Arial"/>
          <w:color w:val="000000"/>
          <w:szCs w:val="20"/>
        </w:rPr>
        <w:t>).</w:t>
      </w:r>
    </w:p>
    <w:p w14:paraId="43FC414D" w14:textId="77777777" w:rsidR="009045EB" w:rsidRDefault="0072593A">
      <w:pPr>
        <w:spacing w:line="276" w:lineRule="auto"/>
        <w:rPr>
          <w:rFonts w:ascii="Arial" w:eastAsia="Arial" w:hAnsi="Arial" w:cs="Arial"/>
          <w:color w:val="000000"/>
        </w:rPr>
      </w:pPr>
      <w:r>
        <w:br w:type="page"/>
      </w:r>
      <w:r>
        <w:rPr>
          <w:noProof/>
        </w:rPr>
        <w:drawing>
          <wp:anchor distT="0" distB="0" distL="0" distR="0" simplePos="0" relativeHeight="251660288" behindDoc="1" locked="0" layoutInCell="1" hidden="0" allowOverlap="1" wp14:anchorId="43FC42DD" wp14:editId="43FC42DE">
            <wp:simplePos x="0" y="0"/>
            <wp:positionH relativeFrom="column">
              <wp:posOffset>292100</wp:posOffset>
            </wp:positionH>
            <wp:positionV relativeFrom="paragraph">
              <wp:posOffset>703580</wp:posOffset>
            </wp:positionV>
            <wp:extent cx="5067300" cy="2849880"/>
            <wp:effectExtent l="190500" t="190500" r="190500" b="190500"/>
            <wp:wrapNone/>
            <wp:docPr id="10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2"/>
                    <a:srcRect/>
                    <a:stretch>
                      <a:fillRect/>
                    </a:stretch>
                  </pic:blipFill>
                  <pic:spPr>
                    <a:xfrm>
                      <a:off x="0" y="0"/>
                      <a:ext cx="5067300" cy="2849880"/>
                    </a:xfrm>
                    <a:prstGeom prst="rect">
                      <a:avLst/>
                    </a:prstGeom>
                    <a:ln w="190500">
                      <a:solidFill>
                        <a:srgbClr val="FFFFFF"/>
                      </a:solidFill>
                      <a:prstDash val="solid"/>
                    </a:ln>
                  </pic:spPr>
                </pic:pic>
              </a:graphicData>
            </a:graphic>
          </wp:anchor>
        </w:drawing>
      </w:r>
      <w:r>
        <w:rPr>
          <w:noProof/>
        </w:rPr>
        <w:drawing>
          <wp:anchor distT="0" distB="0" distL="0" distR="0" simplePos="0" relativeHeight="251661312" behindDoc="1" locked="0" layoutInCell="1" hidden="0" allowOverlap="1" wp14:anchorId="43FC42DF" wp14:editId="43FC42E0">
            <wp:simplePos x="0" y="0"/>
            <wp:positionH relativeFrom="column">
              <wp:posOffset>4998720</wp:posOffset>
            </wp:positionH>
            <wp:positionV relativeFrom="paragraph">
              <wp:posOffset>2042160</wp:posOffset>
            </wp:positionV>
            <wp:extent cx="1261745" cy="1768475"/>
            <wp:effectExtent l="0" t="0" r="0" b="0"/>
            <wp:wrapNone/>
            <wp:docPr id="10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261745" cy="1768475"/>
                    </a:xfrm>
                    <a:prstGeom prst="rect">
                      <a:avLst/>
                    </a:prstGeom>
                    <a:ln/>
                  </pic:spPr>
                </pic:pic>
              </a:graphicData>
            </a:graphic>
          </wp:anchor>
        </w:drawing>
      </w:r>
      <w:r>
        <w:rPr>
          <w:noProof/>
        </w:rPr>
        <w:drawing>
          <wp:anchor distT="0" distB="0" distL="0" distR="0" simplePos="0" relativeHeight="251662336" behindDoc="1" locked="0" layoutInCell="1" hidden="0" allowOverlap="1" wp14:anchorId="43FC42E1" wp14:editId="43FC42E2">
            <wp:simplePos x="0" y="0"/>
            <wp:positionH relativeFrom="column">
              <wp:posOffset>-449579</wp:posOffset>
            </wp:positionH>
            <wp:positionV relativeFrom="paragraph">
              <wp:posOffset>213359</wp:posOffset>
            </wp:positionV>
            <wp:extent cx="1261745" cy="1768475"/>
            <wp:effectExtent l="0" t="0" r="0" b="0"/>
            <wp:wrapNone/>
            <wp:docPr id="10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10800000">
                      <a:off x="0" y="0"/>
                      <a:ext cx="1261745" cy="1768475"/>
                    </a:xfrm>
                    <a:prstGeom prst="rect">
                      <a:avLst/>
                    </a:prstGeom>
                    <a:ln/>
                  </pic:spPr>
                </pic:pic>
              </a:graphicData>
            </a:graphic>
          </wp:anchor>
        </w:drawing>
      </w:r>
    </w:p>
    <w:p w14:paraId="43FC414E" w14:textId="77777777" w:rsidR="009045EB" w:rsidRDefault="0072593A">
      <w:pPr>
        <w:pStyle w:val="Heading1"/>
        <w:numPr>
          <w:ilvl w:val="0"/>
          <w:numId w:val="12"/>
        </w:numPr>
        <w:rPr>
          <w:rFonts w:ascii="Arial" w:eastAsia="Arial" w:hAnsi="Arial" w:cs="Arial"/>
          <w:color w:val="1E2B44"/>
        </w:rPr>
      </w:pPr>
      <w:bookmarkStart w:id="43" w:name="_Toc128033238"/>
      <w:r>
        <w:rPr>
          <w:rFonts w:ascii="Arial" w:eastAsia="Arial" w:hAnsi="Arial" w:cs="Arial"/>
          <w:color w:val="1E2B44"/>
        </w:rPr>
        <w:lastRenderedPageBreak/>
        <w:t>Metering</w:t>
      </w:r>
      <w:bookmarkEnd w:id="43"/>
    </w:p>
    <w:p w14:paraId="43FC414F" w14:textId="64FE3CA6" w:rsidR="009045EB" w:rsidRDefault="0072593A">
      <w:pPr>
        <w:pStyle w:val="Heading2"/>
        <w:numPr>
          <w:ilvl w:val="1"/>
          <w:numId w:val="12"/>
        </w:numPr>
      </w:pPr>
      <w:bookmarkStart w:id="44" w:name="_Toc128033239"/>
      <w:r>
        <w:t>Metering installation and reverse power flow/ feed-in to the municipal electrical network</w:t>
      </w:r>
      <w:bookmarkEnd w:id="44"/>
    </w:p>
    <w:p w14:paraId="43FC4150" w14:textId="388DCAAD"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tbl>
      <w:tblPr>
        <w:tblStyle w:val="a9"/>
        <w:tblW w:w="9180" w:type="dxa"/>
        <w:tblBorders>
          <w:top w:val="single" w:sz="4" w:space="0" w:color="6990B2"/>
          <w:left w:val="single" w:sz="4" w:space="0" w:color="6990B2"/>
          <w:bottom w:val="single" w:sz="4" w:space="0" w:color="6990B2"/>
          <w:right w:val="single" w:sz="4" w:space="0" w:color="6990B2"/>
          <w:insideH w:val="single" w:sz="4" w:space="0" w:color="6990B2"/>
          <w:insideV w:val="single" w:sz="4" w:space="0" w:color="6990B2"/>
        </w:tblBorders>
        <w:tblLayout w:type="fixed"/>
        <w:tblLook w:val="0400" w:firstRow="0" w:lastRow="0" w:firstColumn="0" w:lastColumn="0" w:noHBand="0" w:noVBand="1"/>
      </w:tblPr>
      <w:tblGrid>
        <w:gridCol w:w="7933"/>
        <w:gridCol w:w="1247"/>
      </w:tblGrid>
      <w:tr w:rsidR="009045EB" w14:paraId="43FC4157" w14:textId="77777777">
        <w:trPr>
          <w:trHeight w:val="1253"/>
        </w:trPr>
        <w:tc>
          <w:tcPr>
            <w:tcW w:w="7933" w:type="dxa"/>
            <w:shd w:val="clear" w:color="auto" w:fill="FF0000"/>
          </w:tcPr>
          <w:p w14:paraId="43FC4151" w14:textId="77777777" w:rsidR="009045EB" w:rsidRDefault="0072593A">
            <w:pPr>
              <w:pBdr>
                <w:top w:val="nil"/>
                <w:left w:val="nil"/>
                <w:bottom w:val="nil"/>
                <w:right w:val="nil"/>
                <w:between w:val="nil"/>
              </w:pBdr>
              <w:spacing w:before="0" w:after="0" w:line="276" w:lineRule="auto"/>
              <w:jc w:val="both"/>
              <w:rPr>
                <w:rFonts w:eastAsia="Arial" w:cs="Arial"/>
                <w:b/>
                <w:color w:val="FFFFFF"/>
                <w:sz w:val="20"/>
                <w:szCs w:val="20"/>
              </w:rPr>
            </w:pPr>
            <w:r>
              <w:rPr>
                <w:rFonts w:eastAsia="Arial" w:cs="Arial"/>
                <w:b/>
                <w:color w:val="FFFFFF"/>
                <w:sz w:val="20"/>
                <w:szCs w:val="20"/>
              </w:rPr>
              <w:t>METERING OPTION 1</w:t>
            </w:r>
          </w:p>
          <w:p w14:paraId="43FC4152"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Customers installing SSEG with reverse flow blocking do not need to install bi-directional meters. However, a prepaid meter must be in place or installed.</w:t>
            </w:r>
          </w:p>
          <w:p w14:paraId="43FC4153"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p w14:paraId="43FC4154"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 xml:space="preserve">Customers installing SSEG with the ability to export power shall have an approved bi-directional meter. The </w:t>
            </w:r>
            <w:r>
              <w:rPr>
                <w:rFonts w:eastAsia="Arial" w:cs="Arial"/>
                <w:color w:val="FFFFFF"/>
                <w:sz w:val="20"/>
                <w:szCs w:val="20"/>
                <w:u w:val="single"/>
              </w:rPr>
              <w:t>Municipality shall provide and install the requisite meter</w:t>
            </w:r>
            <w:r>
              <w:rPr>
                <w:rFonts w:eastAsia="Arial" w:cs="Arial"/>
                <w:color w:val="FFFFFF"/>
                <w:sz w:val="20"/>
                <w:szCs w:val="20"/>
              </w:rPr>
              <w:t xml:space="preserve"> at the customer’s cost.</w:t>
            </w:r>
          </w:p>
          <w:p w14:paraId="43FC4155"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tc>
        <w:tc>
          <w:tcPr>
            <w:tcW w:w="1247" w:type="dxa"/>
          </w:tcPr>
          <w:p w14:paraId="43FC4156" w14:textId="4112ABA9" w:rsidR="009045EB" w:rsidRDefault="0072593A">
            <w:pPr>
              <w:tabs>
                <w:tab w:val="left" w:pos="954"/>
              </w:tabs>
              <w:jc w:val="center"/>
              <w:rPr>
                <w:rFonts w:eastAsia="Arial" w:cs="Arial"/>
                <w:b/>
                <w:i/>
                <w:color w:val="BFBFBF"/>
              </w:rPr>
            </w:pPr>
            <w:r>
              <w:rPr>
                <w:rFonts w:eastAsia="Arial" w:cs="Arial"/>
                <w:b/>
                <w:i/>
                <w:color w:val="BFBFBF"/>
              </w:rPr>
              <w:t>Tick chosen option</w:t>
            </w:r>
          </w:p>
        </w:tc>
      </w:tr>
      <w:tr w:rsidR="009045EB" w14:paraId="43FC415C" w14:textId="77777777">
        <w:trPr>
          <w:trHeight w:val="1253"/>
        </w:trPr>
        <w:tc>
          <w:tcPr>
            <w:tcW w:w="7933" w:type="dxa"/>
            <w:shd w:val="clear" w:color="auto" w:fill="FF0000"/>
          </w:tcPr>
          <w:p w14:paraId="43FC4158" w14:textId="77777777" w:rsidR="009045EB" w:rsidRDefault="0072593A">
            <w:pPr>
              <w:pBdr>
                <w:top w:val="nil"/>
                <w:left w:val="nil"/>
                <w:bottom w:val="nil"/>
                <w:right w:val="nil"/>
                <w:between w:val="nil"/>
              </w:pBdr>
              <w:spacing w:before="0" w:after="0" w:line="276" w:lineRule="auto"/>
              <w:jc w:val="both"/>
              <w:rPr>
                <w:rFonts w:eastAsia="Arial" w:cs="Arial"/>
                <w:b/>
                <w:color w:val="FFFFFF"/>
                <w:sz w:val="20"/>
                <w:szCs w:val="20"/>
              </w:rPr>
            </w:pPr>
            <w:r>
              <w:rPr>
                <w:rFonts w:eastAsia="Arial" w:cs="Arial"/>
                <w:b/>
                <w:color w:val="FFFFFF"/>
                <w:sz w:val="20"/>
                <w:szCs w:val="20"/>
              </w:rPr>
              <w:t>METERING OPTION 2</w:t>
            </w:r>
          </w:p>
          <w:p w14:paraId="43FC4159" w14:textId="77777777"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color w:val="FFFFFF"/>
                <w:sz w:val="20"/>
                <w:szCs w:val="20"/>
              </w:rPr>
              <w:t>All customers installing SSEG, whether with reverse feed blocking or not,</w:t>
            </w:r>
            <w:r>
              <w:rPr>
                <w:rFonts w:eastAsia="Arial" w:cs="Arial"/>
                <w:b/>
                <w:color w:val="FFFFFF"/>
                <w:sz w:val="20"/>
                <w:szCs w:val="20"/>
              </w:rPr>
              <w:t xml:space="preserve"> </w:t>
            </w:r>
            <w:r>
              <w:rPr>
                <w:rFonts w:eastAsia="Arial" w:cs="Arial"/>
                <w:color w:val="FFFFFF"/>
                <w:sz w:val="20"/>
                <w:szCs w:val="20"/>
              </w:rPr>
              <w:t xml:space="preserve">shall have an approved bi-directional meter. The </w:t>
            </w:r>
            <w:r>
              <w:rPr>
                <w:rFonts w:eastAsia="Arial" w:cs="Arial"/>
                <w:color w:val="FFFFFF"/>
                <w:sz w:val="20"/>
                <w:szCs w:val="20"/>
                <w:u w:val="single"/>
              </w:rPr>
              <w:t>Municipality shall provide and install the requisite meter</w:t>
            </w:r>
            <w:r>
              <w:rPr>
                <w:rFonts w:eastAsia="Arial" w:cs="Arial"/>
                <w:color w:val="FFFFFF"/>
                <w:sz w:val="20"/>
                <w:szCs w:val="20"/>
              </w:rPr>
              <w:t xml:space="preserve"> at the customer’s cost.</w:t>
            </w:r>
          </w:p>
          <w:p w14:paraId="43FC415A" w14:textId="77777777" w:rsidR="009045EB" w:rsidRDefault="009045EB">
            <w:pPr>
              <w:pBdr>
                <w:top w:val="nil"/>
                <w:left w:val="nil"/>
                <w:bottom w:val="nil"/>
                <w:right w:val="nil"/>
                <w:between w:val="nil"/>
              </w:pBdr>
              <w:spacing w:before="0" w:after="0" w:line="276" w:lineRule="auto"/>
              <w:jc w:val="both"/>
              <w:rPr>
                <w:rFonts w:eastAsia="Arial" w:cs="Arial"/>
                <w:b/>
                <w:color w:val="FFFFFF"/>
                <w:sz w:val="20"/>
                <w:szCs w:val="20"/>
              </w:rPr>
            </w:pPr>
          </w:p>
        </w:tc>
        <w:tc>
          <w:tcPr>
            <w:tcW w:w="1247" w:type="dxa"/>
          </w:tcPr>
          <w:p w14:paraId="43FC415B" w14:textId="77777777" w:rsidR="009045EB" w:rsidRDefault="0072593A">
            <w:pPr>
              <w:tabs>
                <w:tab w:val="left" w:pos="954"/>
              </w:tabs>
              <w:jc w:val="center"/>
              <w:rPr>
                <w:rFonts w:eastAsia="Arial" w:cs="Arial"/>
                <w:b/>
                <w:i/>
                <w:color w:val="BFBFBF"/>
              </w:rPr>
            </w:pPr>
            <w:r>
              <w:rPr>
                <w:rFonts w:eastAsia="Arial" w:cs="Arial"/>
                <w:b/>
                <w:i/>
                <w:color w:val="BFBFBF"/>
              </w:rPr>
              <w:t>Tick chosen option</w:t>
            </w:r>
          </w:p>
        </w:tc>
      </w:tr>
      <w:tr w:rsidR="009045EB" w14:paraId="43FC4163" w14:textId="77777777">
        <w:tc>
          <w:tcPr>
            <w:tcW w:w="7933" w:type="dxa"/>
            <w:shd w:val="clear" w:color="auto" w:fill="FF9966"/>
          </w:tcPr>
          <w:p w14:paraId="43FC415D" w14:textId="1C20D278" w:rsidR="009045EB" w:rsidRDefault="0072593A">
            <w:pPr>
              <w:pBdr>
                <w:top w:val="nil"/>
                <w:left w:val="nil"/>
                <w:bottom w:val="nil"/>
                <w:right w:val="nil"/>
                <w:between w:val="nil"/>
              </w:pBdr>
              <w:spacing w:before="0" w:after="0" w:line="276" w:lineRule="auto"/>
              <w:jc w:val="both"/>
              <w:rPr>
                <w:rFonts w:eastAsia="Arial" w:cs="Arial"/>
                <w:color w:val="FFFFFF"/>
                <w:sz w:val="20"/>
                <w:szCs w:val="20"/>
              </w:rPr>
            </w:pPr>
            <w:r>
              <w:rPr>
                <w:rFonts w:eastAsia="Arial" w:cs="Arial"/>
                <w:b/>
                <w:color w:val="FFFFFF"/>
                <w:sz w:val="20"/>
                <w:szCs w:val="20"/>
              </w:rPr>
              <w:t>METERING OPTION 3</w:t>
            </w:r>
            <w:r>
              <w:rPr>
                <w:rFonts w:eastAsia="Arial" w:cs="Arial"/>
                <w:color w:val="FFFFFF"/>
                <w:sz w:val="20"/>
                <w:szCs w:val="20"/>
              </w:rPr>
              <w:t>:  (own text</w:t>
            </w:r>
            <w:r w:rsidR="00A12256">
              <w:rPr>
                <w:rFonts w:eastAsia="Arial" w:cs="Arial"/>
                <w:color w:val="FFFFFF"/>
                <w:sz w:val="20"/>
                <w:szCs w:val="20"/>
              </w:rPr>
              <w:t xml:space="preserve"> </w:t>
            </w:r>
            <w:r w:rsidR="0050158E">
              <w:rPr>
                <w:rFonts w:eastAsia="Arial" w:cs="Arial"/>
                <w:color w:val="FFFFFF"/>
                <w:sz w:val="20"/>
                <w:szCs w:val="20"/>
              </w:rPr>
              <w:t>–</w:t>
            </w:r>
            <w:r w:rsidR="00A12256">
              <w:rPr>
                <w:rFonts w:eastAsia="Arial" w:cs="Arial"/>
                <w:color w:val="FFFFFF"/>
                <w:sz w:val="20"/>
                <w:szCs w:val="20"/>
              </w:rPr>
              <w:t xml:space="preserve"> </w:t>
            </w:r>
            <w:r w:rsidR="00812C5E">
              <w:rPr>
                <w:rFonts w:eastAsia="Arial" w:cs="Arial"/>
                <w:color w:val="FFFFFF"/>
                <w:sz w:val="20"/>
                <w:szCs w:val="20"/>
              </w:rPr>
              <w:t xml:space="preserve">e.g. </w:t>
            </w:r>
            <w:r w:rsidR="0050158E">
              <w:rPr>
                <w:rFonts w:eastAsia="Arial" w:cs="Arial"/>
                <w:color w:val="FFFFFF"/>
                <w:sz w:val="20"/>
                <w:szCs w:val="20"/>
              </w:rPr>
              <w:t>customise</w:t>
            </w:r>
            <w:r w:rsidR="00812C5E">
              <w:rPr>
                <w:rFonts w:eastAsia="Arial" w:cs="Arial"/>
                <w:color w:val="FFFFFF"/>
                <w:sz w:val="20"/>
                <w:szCs w:val="20"/>
              </w:rPr>
              <w:t>d to be consistent with</w:t>
            </w:r>
            <w:r w:rsidR="0050158E">
              <w:rPr>
                <w:rFonts w:eastAsia="Arial" w:cs="Arial"/>
                <w:color w:val="FFFFFF"/>
                <w:sz w:val="20"/>
                <w:szCs w:val="20"/>
              </w:rPr>
              <w:t xml:space="preserve"> your municipal metering policy</w:t>
            </w:r>
            <w:r>
              <w:rPr>
                <w:rFonts w:eastAsia="Arial" w:cs="Arial"/>
                <w:color w:val="FFFFFF"/>
                <w:sz w:val="20"/>
                <w:szCs w:val="20"/>
              </w:rPr>
              <w:t xml:space="preserve">) </w:t>
            </w:r>
          </w:p>
          <w:p w14:paraId="43FC415E"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p w14:paraId="43FC415F"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p w14:paraId="43FC4160"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p w14:paraId="43FC4161" w14:textId="77777777" w:rsidR="009045EB" w:rsidRDefault="009045EB">
            <w:pPr>
              <w:pBdr>
                <w:top w:val="nil"/>
                <w:left w:val="nil"/>
                <w:bottom w:val="nil"/>
                <w:right w:val="nil"/>
                <w:between w:val="nil"/>
              </w:pBdr>
              <w:spacing w:before="0" w:after="0" w:line="276" w:lineRule="auto"/>
              <w:jc w:val="both"/>
              <w:rPr>
                <w:rFonts w:eastAsia="Arial" w:cs="Arial"/>
                <w:color w:val="FFFFFF"/>
                <w:sz w:val="20"/>
                <w:szCs w:val="20"/>
              </w:rPr>
            </w:pPr>
          </w:p>
        </w:tc>
        <w:tc>
          <w:tcPr>
            <w:tcW w:w="1247" w:type="dxa"/>
          </w:tcPr>
          <w:p w14:paraId="43FC4162" w14:textId="77777777" w:rsidR="009045EB" w:rsidRDefault="0072593A">
            <w:pPr>
              <w:tabs>
                <w:tab w:val="left" w:pos="954"/>
              </w:tabs>
              <w:jc w:val="center"/>
              <w:rPr>
                <w:rFonts w:eastAsia="Arial" w:cs="Arial"/>
                <w:b/>
              </w:rPr>
            </w:pPr>
            <w:r>
              <w:rPr>
                <w:rFonts w:eastAsia="Arial" w:cs="Arial"/>
                <w:b/>
                <w:i/>
                <w:color w:val="BFBFBF"/>
              </w:rPr>
              <w:t>Tick chosen option</w:t>
            </w:r>
          </w:p>
        </w:tc>
      </w:tr>
    </w:tbl>
    <w:p w14:paraId="43FC4164"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65" w14:textId="2F55762D"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highlight w:val="yellow"/>
        </w:rPr>
        <w:t>Where the municipality has not yet implemented</w:t>
      </w:r>
      <w:r w:rsidR="00FF46F8">
        <w:rPr>
          <w:rFonts w:ascii="Arial" w:eastAsia="Arial" w:hAnsi="Arial" w:cs="Arial"/>
          <w:color w:val="000000"/>
          <w:szCs w:val="20"/>
          <w:highlight w:val="yellow"/>
        </w:rPr>
        <w:t xml:space="preserve"> </w:t>
      </w:r>
      <w:r>
        <w:rPr>
          <w:rFonts w:ascii="Arial" w:eastAsia="Arial" w:hAnsi="Arial" w:cs="Arial"/>
          <w:color w:val="000000"/>
          <w:szCs w:val="20"/>
          <w:highlight w:val="yellow"/>
        </w:rPr>
        <w:t>tariffs</w:t>
      </w:r>
      <w:r w:rsidR="00E866FA">
        <w:rPr>
          <w:rFonts w:ascii="Arial" w:eastAsia="Arial" w:hAnsi="Arial" w:cs="Arial"/>
          <w:color w:val="000000"/>
          <w:szCs w:val="20"/>
          <w:highlight w:val="yellow"/>
        </w:rPr>
        <w:t xml:space="preserve"> with export credits</w:t>
      </w:r>
      <w:r>
        <w:rPr>
          <w:rFonts w:ascii="Arial" w:eastAsia="Arial" w:hAnsi="Arial" w:cs="Arial"/>
          <w:color w:val="000000"/>
          <w:szCs w:val="20"/>
          <w:highlight w:val="yellow"/>
        </w:rPr>
        <w:t>, reversed feed will be allowed on systems so enabled</w:t>
      </w:r>
      <w:r w:rsidRPr="003A3AC5">
        <w:rPr>
          <w:rFonts w:ascii="Arial" w:eastAsia="Arial" w:hAnsi="Arial" w:cs="Arial"/>
          <w:color w:val="000000"/>
          <w:szCs w:val="20"/>
          <w:highlight w:val="yellow"/>
        </w:rPr>
        <w:t>, but will not be compensated for</w:t>
      </w:r>
      <w:r>
        <w:rPr>
          <w:rFonts w:ascii="Arial" w:eastAsia="Arial" w:hAnsi="Arial" w:cs="Arial"/>
          <w:color w:val="000000"/>
          <w:szCs w:val="20"/>
        </w:rPr>
        <w:t xml:space="preserve"> (note that this is a temporary situation pending the operationalising of SSEG tariffs).</w:t>
      </w:r>
    </w:p>
    <w:p w14:paraId="43FC4166"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67" w14:textId="77777777" w:rsidR="009045EB" w:rsidRPr="00360CF1" w:rsidRDefault="0072593A">
      <w:pPr>
        <w:pBdr>
          <w:top w:val="nil"/>
          <w:left w:val="nil"/>
          <w:bottom w:val="nil"/>
          <w:right w:val="nil"/>
          <w:between w:val="nil"/>
        </w:pBdr>
        <w:spacing w:line="276" w:lineRule="auto"/>
        <w:jc w:val="both"/>
        <w:rPr>
          <w:rFonts w:ascii="Arial" w:eastAsia="Arial" w:hAnsi="Arial" w:cs="Arial"/>
          <w:b/>
          <w:color w:val="000000"/>
          <w:szCs w:val="20"/>
          <w:u w:val="single"/>
        </w:rPr>
      </w:pPr>
      <w:r w:rsidRPr="00360CF1">
        <w:rPr>
          <w:rFonts w:ascii="Arial" w:eastAsia="Arial" w:hAnsi="Arial" w:cs="Arial"/>
          <w:b/>
          <w:color w:val="000000"/>
          <w:szCs w:val="20"/>
          <w:u w:val="single"/>
        </w:rPr>
        <w:t>Conventional credit or prepayment meters are not allowed to run backwards.</w:t>
      </w:r>
    </w:p>
    <w:p w14:paraId="43FC4168" w14:textId="77777777" w:rsidR="009045EB" w:rsidRDefault="0072593A">
      <w:pPr>
        <w:pStyle w:val="Heading2"/>
        <w:numPr>
          <w:ilvl w:val="1"/>
          <w:numId w:val="12"/>
        </w:numPr>
      </w:pPr>
      <w:bookmarkStart w:id="45" w:name="_Toc128033240"/>
      <w:r>
        <w:t>Adaption of electrical metering installation</w:t>
      </w:r>
      <w:bookmarkEnd w:id="45"/>
      <w:r>
        <w:t xml:space="preserve"> </w:t>
      </w:r>
    </w:p>
    <w:p w14:paraId="43FC4169"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Municipality reserves the right to require customers moving onto an SSEG tariff to adapt their electrical installations in such a way that the metering is located in a kiosk in the road reserve. The municipality will inform prospective SSEG customers accordingly should this be required.</w:t>
      </w:r>
    </w:p>
    <w:p w14:paraId="43FC416A" w14:textId="77777777" w:rsidR="009045EB" w:rsidRDefault="0072593A">
      <w:pPr>
        <w:pStyle w:val="Heading2"/>
        <w:numPr>
          <w:ilvl w:val="1"/>
          <w:numId w:val="12"/>
        </w:numPr>
      </w:pPr>
      <w:bookmarkStart w:id="46" w:name="_Toc128033241"/>
      <w:r>
        <w:t>Refunds of electricity already pre-purchased</w:t>
      </w:r>
      <w:bookmarkEnd w:id="46"/>
      <w:r>
        <w:t xml:space="preserve"> </w:t>
      </w:r>
    </w:p>
    <w:p w14:paraId="43FC416B"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Where applicants currently have Prepayment meters (PPM), these will need to be replaced with meters appropriate for SSEG systems and tariffs.  Refund of Prepayment meter units when a customer changes to the SSEG tariff and has an appropriate meter installed </w:t>
      </w:r>
      <w:r>
        <w:rPr>
          <w:rFonts w:ascii="Arial" w:eastAsia="Arial" w:hAnsi="Arial" w:cs="Arial"/>
          <w:color w:val="000000"/>
          <w:szCs w:val="20"/>
          <w:u w:val="single"/>
        </w:rPr>
        <w:t>will not be given</w:t>
      </w:r>
      <w:r>
        <w:rPr>
          <w:rFonts w:ascii="Arial" w:eastAsia="Arial" w:hAnsi="Arial" w:cs="Arial"/>
          <w:color w:val="000000"/>
          <w:szCs w:val="20"/>
        </w:rPr>
        <w:t>. The customer should therefore delay the installation of an SSEG-appropriate meter until the units purchased are used.  Otherwise units purchased on the PPM will be forfeited.</w:t>
      </w:r>
    </w:p>
    <w:p w14:paraId="43FC416C"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noProof/>
        </w:rPr>
        <w:drawing>
          <wp:anchor distT="0" distB="0" distL="0" distR="0" simplePos="0" relativeHeight="251663360" behindDoc="1" locked="0" layoutInCell="1" hidden="0" allowOverlap="1" wp14:anchorId="43FC42E3" wp14:editId="43FC42E4">
            <wp:simplePos x="0" y="0"/>
            <wp:positionH relativeFrom="column">
              <wp:posOffset>4432300</wp:posOffset>
            </wp:positionH>
            <wp:positionV relativeFrom="paragraph">
              <wp:posOffset>102235</wp:posOffset>
            </wp:positionV>
            <wp:extent cx="1574800" cy="2206234"/>
            <wp:effectExtent l="0" t="0" r="0" b="0"/>
            <wp:wrapNone/>
            <wp:docPr id="10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574800" cy="2206234"/>
                    </a:xfrm>
                    <a:prstGeom prst="rect">
                      <a:avLst/>
                    </a:prstGeom>
                    <a:ln/>
                  </pic:spPr>
                </pic:pic>
              </a:graphicData>
            </a:graphic>
          </wp:anchor>
        </w:drawing>
      </w:r>
    </w:p>
    <w:p w14:paraId="43FC416D" w14:textId="77777777" w:rsidR="009045EB" w:rsidRDefault="0072593A">
      <w:pPr>
        <w:spacing w:line="276" w:lineRule="auto"/>
        <w:rPr>
          <w:rFonts w:ascii="Arial" w:eastAsia="Arial" w:hAnsi="Arial" w:cs="Arial"/>
          <w:color w:val="000000"/>
        </w:rPr>
      </w:pPr>
      <w:r>
        <w:br w:type="page"/>
      </w:r>
    </w:p>
    <w:p w14:paraId="43FC416E" w14:textId="77777777" w:rsidR="009045EB" w:rsidRDefault="0072593A">
      <w:pPr>
        <w:pStyle w:val="Heading1"/>
        <w:numPr>
          <w:ilvl w:val="0"/>
          <w:numId w:val="12"/>
        </w:numPr>
        <w:rPr>
          <w:rFonts w:ascii="Arial" w:eastAsia="Arial" w:hAnsi="Arial" w:cs="Arial"/>
          <w:color w:val="1E2B44"/>
        </w:rPr>
      </w:pPr>
      <w:bookmarkStart w:id="47" w:name="_Toc128033242"/>
      <w:r>
        <w:rPr>
          <w:rFonts w:ascii="Arial" w:eastAsia="Arial" w:hAnsi="Arial" w:cs="Arial"/>
          <w:color w:val="1E2B44"/>
        </w:rPr>
        <w:lastRenderedPageBreak/>
        <w:t>SSEG connection criteria</w:t>
      </w:r>
      <w:bookmarkEnd w:id="47"/>
    </w:p>
    <w:p w14:paraId="43FC416F" w14:textId="726127BD"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Simplified SSEG connection criteria are specified in the NRS 097-2-3</w:t>
      </w:r>
      <w:r w:rsidR="00555C5C">
        <w:rPr>
          <w:rFonts w:ascii="Arial" w:eastAsia="Arial" w:hAnsi="Arial" w:cs="Arial"/>
          <w:color w:val="000000"/>
          <w:szCs w:val="20"/>
        </w:rPr>
        <w:t xml:space="preserve"> (2023)</w:t>
      </w:r>
      <w:r>
        <w:rPr>
          <w:rFonts w:ascii="Arial" w:eastAsia="Arial" w:hAnsi="Arial" w:cs="Arial"/>
          <w:color w:val="000000"/>
          <w:szCs w:val="20"/>
        </w:rPr>
        <w:t>, and applications for systems that fall within these parameters are likely to be easily processed by the Municipality, and only in rare cases will require grid impact studies in their assessment. Such parameters include:</w:t>
      </w:r>
    </w:p>
    <w:p w14:paraId="43FC4170" w14:textId="4BC5BBFE" w:rsidR="009045EB" w:rsidRDefault="0072593A">
      <w:pPr>
        <w:numPr>
          <w:ilvl w:val="0"/>
          <w:numId w:val="9"/>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Systems not larger than </w:t>
      </w:r>
      <w:r w:rsidR="00683BF0">
        <w:rPr>
          <w:rFonts w:ascii="Arial" w:eastAsia="Arial" w:hAnsi="Arial" w:cs="Arial"/>
          <w:color w:val="000000"/>
          <w:szCs w:val="20"/>
        </w:rPr>
        <w:t>1000</w:t>
      </w:r>
      <w:r>
        <w:rPr>
          <w:rFonts w:ascii="Arial" w:eastAsia="Arial" w:hAnsi="Arial" w:cs="Arial"/>
          <w:color w:val="000000"/>
          <w:szCs w:val="20"/>
        </w:rPr>
        <w:t>kVA</w:t>
      </w:r>
    </w:p>
    <w:p w14:paraId="43FC4171" w14:textId="77777777" w:rsidR="009045EB" w:rsidRDefault="0072593A">
      <w:pPr>
        <w:numPr>
          <w:ilvl w:val="0"/>
          <w:numId w:val="9"/>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Connecting to a LV network</w:t>
      </w:r>
    </w:p>
    <w:p w14:paraId="43FC4172"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73" w14:textId="7BC9E10D"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Applications to connect SSEG installations which exceed the parameters of the NRS097-2-3 will also be accepted by the Municipality, but may require specialist grid-impact studies in their assessment. The Municipality will advise the customer of such needs after the application form is received.</w:t>
      </w:r>
    </w:p>
    <w:p w14:paraId="43FC4174"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75"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There are different criteria for simplified connection in shared and dedicated LV feeders, as described below (for details see the relevant sections of the NRS097-2-3):</w:t>
      </w:r>
    </w:p>
    <w:p w14:paraId="43FC4176"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77" w14:textId="77777777" w:rsidR="009045EB" w:rsidRDefault="0072593A">
      <w:pPr>
        <w:pBdr>
          <w:top w:val="single" w:sz="4" w:space="2" w:color="000000"/>
          <w:left w:val="single" w:sz="4" w:space="4" w:color="000000"/>
          <w:bottom w:val="single" w:sz="4" w:space="11" w:color="000000"/>
          <w:right w:val="single" w:sz="4" w:space="4" w:color="000000"/>
          <w:between w:val="nil"/>
        </w:pBdr>
        <w:spacing w:line="276" w:lineRule="auto"/>
        <w:jc w:val="both"/>
        <w:rPr>
          <w:rFonts w:ascii="Arial" w:eastAsia="Arial" w:hAnsi="Arial" w:cs="Arial"/>
          <w:b/>
          <w:i/>
          <w:color w:val="000000"/>
          <w:szCs w:val="20"/>
        </w:rPr>
      </w:pPr>
      <w:r>
        <w:rPr>
          <w:noProof/>
        </w:rPr>
        <mc:AlternateContent>
          <mc:Choice Requires="wps">
            <w:drawing>
              <wp:anchor distT="0" distB="0" distL="0" distR="0" simplePos="0" relativeHeight="251664384" behindDoc="1" locked="0" layoutInCell="1" hidden="0" allowOverlap="1" wp14:anchorId="43FC42E5" wp14:editId="43FC42E6">
                <wp:simplePos x="0" y="0"/>
                <wp:positionH relativeFrom="column">
                  <wp:posOffset>-76199</wp:posOffset>
                </wp:positionH>
                <wp:positionV relativeFrom="paragraph">
                  <wp:posOffset>0</wp:posOffset>
                </wp:positionV>
                <wp:extent cx="5889625" cy="1152525"/>
                <wp:effectExtent l="0" t="0" r="0" b="0"/>
                <wp:wrapNone/>
                <wp:docPr id="1030" name="Rectangle 1030"/>
                <wp:cNvGraphicFramePr/>
                <a:graphic xmlns:a="http://schemas.openxmlformats.org/drawingml/2006/main">
                  <a:graphicData uri="http://schemas.microsoft.com/office/word/2010/wordprocessingShape">
                    <wps:wsp>
                      <wps:cNvSpPr/>
                      <wps:spPr>
                        <a:xfrm>
                          <a:off x="2405950" y="3208500"/>
                          <a:ext cx="5880100" cy="1143000"/>
                        </a:xfrm>
                        <a:prstGeom prst="rect">
                          <a:avLst/>
                        </a:prstGeom>
                        <a:solidFill>
                          <a:schemeClr val="accent6">
                            <a:alpha val="15686"/>
                          </a:schemeClr>
                        </a:solidFill>
                        <a:ln>
                          <a:noFill/>
                        </a:ln>
                      </wps:spPr>
                      <wps:txbx>
                        <w:txbxContent>
                          <w:p w14:paraId="43FC42F3" w14:textId="77777777" w:rsidR="001A2FBB" w:rsidRDefault="001A2FB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FC42E5" id="Rectangle 1030" o:spid="_x0000_s1026" style="position:absolute;left:0;text-align:left;margin-left:-6pt;margin-top:0;width:463.75pt;height:90.7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" fillcolor="#2683c6 [3209]" stroked="f">
                <v:fill opacity="10280f"/>
                <v:textbox inset="2.53958mm,2.53958mm,2.53958mm,2.53958mm">
                  <w:txbxContent>
                    <w:p w14:paraId="43FC42F3" w14:textId="77777777" w:rsidR="001A2FBB" w:rsidRDefault="001A2FBB">
                      <w:pPr>
                        <w:spacing w:line="240" w:lineRule="auto"/>
                        <w:textDirection w:val="btLr"/>
                      </w:pPr>
                    </w:p>
                  </w:txbxContent>
                </v:textbox>
              </v:rect>
            </w:pict>
          </mc:Fallback>
        </mc:AlternateContent>
      </w:r>
    </w:p>
    <w:p w14:paraId="43FC4178" w14:textId="4365460E" w:rsidR="009045EB" w:rsidRDefault="0072593A">
      <w:pPr>
        <w:pBdr>
          <w:top w:val="single" w:sz="4" w:space="2" w:color="000000"/>
          <w:left w:val="single" w:sz="4" w:space="4" w:color="000000"/>
          <w:bottom w:val="single" w:sz="4" w:space="11" w:color="000000"/>
          <w:right w:val="single" w:sz="4" w:space="4" w:color="000000"/>
          <w:between w:val="nil"/>
        </w:pBdr>
        <w:shd w:val="clear" w:color="auto" w:fill="D6EEF5"/>
        <w:spacing w:line="276" w:lineRule="auto"/>
        <w:jc w:val="both"/>
        <w:rPr>
          <w:rFonts w:ascii="Arial" w:eastAsia="Arial" w:hAnsi="Arial" w:cs="Arial"/>
          <w:b/>
          <w:i/>
          <w:color w:val="000000"/>
          <w:szCs w:val="20"/>
        </w:rPr>
      </w:pPr>
      <w:r>
        <w:rPr>
          <w:rFonts w:ascii="Arial" w:eastAsia="Arial" w:hAnsi="Arial" w:cs="Arial"/>
          <w:b/>
          <w:i/>
          <w:color w:val="000000"/>
          <w:szCs w:val="20"/>
        </w:rPr>
        <w:t>Note that the below is a summary of parts of the NRS097-2-3 (20</w:t>
      </w:r>
      <w:r w:rsidR="00B60DB4">
        <w:rPr>
          <w:rFonts w:ascii="Arial" w:eastAsia="Arial" w:hAnsi="Arial" w:cs="Arial"/>
          <w:b/>
          <w:i/>
          <w:color w:val="000000"/>
          <w:szCs w:val="20"/>
        </w:rPr>
        <w:t>23</w:t>
      </w:r>
      <w:r>
        <w:rPr>
          <w:rFonts w:ascii="Arial" w:eastAsia="Arial" w:hAnsi="Arial" w:cs="Arial"/>
          <w:b/>
          <w:i/>
          <w:color w:val="000000"/>
          <w:szCs w:val="20"/>
        </w:rPr>
        <w:t>), and is provided for information purposes.  The parameters and criteria in the latest version of the NRS097-2-3 may differ from the below and, where this is the case, they supersede the below information. It is therefore important to consult the latest version of the NRS097-2-3 as the criteria therein will be used to assess the SSEG application.</w:t>
      </w:r>
    </w:p>
    <w:p w14:paraId="43FC4179" w14:textId="77777777" w:rsidR="009045EB" w:rsidRDefault="0072593A">
      <w:pPr>
        <w:pStyle w:val="Heading2"/>
        <w:numPr>
          <w:ilvl w:val="1"/>
          <w:numId w:val="12"/>
        </w:numPr>
      </w:pPr>
      <w:bookmarkStart w:id="48" w:name="_Toc128033243"/>
      <w:r>
        <w:t>Shared LV feeders</w:t>
      </w:r>
      <w:bookmarkEnd w:id="48"/>
    </w:p>
    <w:p w14:paraId="1BDA5123" w14:textId="1F3D56AA" w:rsidR="00D01375"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NRS 097-2-3 specifies that the maximum individual limit on a shared LV feeder (which applies to most small commercial and residential situations) </w:t>
      </w:r>
      <w:r w:rsidR="00D01375">
        <w:rPr>
          <w:rFonts w:ascii="Arial" w:eastAsia="Arial" w:hAnsi="Arial" w:cs="Arial"/>
          <w:color w:val="000000"/>
          <w:szCs w:val="20"/>
        </w:rPr>
        <w:t>is as follows:</w:t>
      </w:r>
    </w:p>
    <w:p w14:paraId="5AB778C0" w14:textId="0F32677E" w:rsidR="00B43AB1" w:rsidRPr="009E5D30" w:rsidRDefault="001F1346" w:rsidP="009E5D30">
      <w:pPr>
        <w:pStyle w:val="ListParagraph"/>
        <w:numPr>
          <w:ilvl w:val="0"/>
          <w:numId w:val="16"/>
        </w:numPr>
        <w:pBdr>
          <w:top w:val="nil"/>
          <w:left w:val="nil"/>
          <w:bottom w:val="nil"/>
          <w:right w:val="nil"/>
          <w:between w:val="nil"/>
        </w:pBdr>
        <w:spacing w:line="276" w:lineRule="auto"/>
        <w:jc w:val="both"/>
        <w:rPr>
          <w:rFonts w:eastAsia="Arial" w:cs="Arial"/>
          <w:color w:val="000000"/>
        </w:rPr>
      </w:pPr>
      <w:bookmarkStart w:id="49" w:name="_Toc128033244"/>
      <w:r w:rsidRPr="009E5D30">
        <w:rPr>
          <w:rFonts w:eastAsia="Arial" w:cs="Arial"/>
          <w:color w:val="000000"/>
          <w:sz w:val="20"/>
        </w:rPr>
        <w:t>SSEG</w:t>
      </w:r>
      <w:r w:rsidR="00B43AB1" w:rsidRPr="009E5D30">
        <w:rPr>
          <w:rFonts w:eastAsia="Arial" w:cs="Arial"/>
          <w:color w:val="000000"/>
          <w:sz w:val="20"/>
        </w:rPr>
        <w:t xml:space="preserve"> nameplate power rating </w:t>
      </w:r>
      <w:r w:rsidR="0072593A" w:rsidRPr="009E5D30">
        <w:rPr>
          <w:rFonts w:eastAsia="Arial" w:cs="Arial"/>
          <w:color w:val="000000"/>
          <w:sz w:val="20"/>
        </w:rPr>
        <w:t>shall not exceed the consumer’s NMD</w:t>
      </w:r>
      <w:r w:rsidR="00BC011E" w:rsidRPr="009E5D30">
        <w:rPr>
          <w:rFonts w:eastAsia="Arial" w:cs="Arial"/>
          <w:color w:val="000000"/>
          <w:sz w:val="20"/>
        </w:rPr>
        <w:t xml:space="preserve"> (or UIC – Utility Installed Capacity)</w:t>
      </w:r>
      <w:r w:rsidR="00BC011E" w:rsidRPr="009E5D30">
        <w:rPr>
          <w:rStyle w:val="FootnoteReference"/>
          <w:rFonts w:eastAsia="Arial" w:cs="Arial"/>
          <w:color w:val="000000"/>
          <w:sz w:val="20"/>
        </w:rPr>
        <w:footnoteReference w:id="2"/>
      </w:r>
      <w:bookmarkEnd w:id="49"/>
    </w:p>
    <w:p w14:paraId="3F330C8F" w14:textId="1BB8F4F0" w:rsidR="00483BDD" w:rsidRPr="009E5D30" w:rsidRDefault="001F1346" w:rsidP="009E5D30">
      <w:pPr>
        <w:pStyle w:val="ListParagraph"/>
        <w:numPr>
          <w:ilvl w:val="0"/>
          <w:numId w:val="16"/>
        </w:numPr>
        <w:pBdr>
          <w:top w:val="nil"/>
          <w:left w:val="nil"/>
          <w:bottom w:val="nil"/>
          <w:right w:val="nil"/>
          <w:between w:val="nil"/>
        </w:pBdr>
        <w:spacing w:line="276" w:lineRule="auto"/>
        <w:jc w:val="both"/>
        <w:rPr>
          <w:rFonts w:eastAsia="Arial" w:cs="Arial"/>
          <w:color w:val="000000"/>
        </w:rPr>
      </w:pPr>
      <w:bookmarkStart w:id="50" w:name="_Toc128033245"/>
      <w:r w:rsidRPr="009E5D30">
        <w:rPr>
          <w:rFonts w:eastAsia="Arial" w:cs="Arial"/>
          <w:color w:val="000000"/>
          <w:sz w:val="20"/>
        </w:rPr>
        <w:t>SSEG</w:t>
      </w:r>
      <w:r w:rsidR="00CD78D1" w:rsidRPr="009E5D30">
        <w:rPr>
          <w:rFonts w:eastAsia="Arial" w:cs="Arial"/>
          <w:color w:val="000000"/>
          <w:sz w:val="20"/>
        </w:rPr>
        <w:t xml:space="preserve"> </w:t>
      </w:r>
      <w:r w:rsidRPr="009E5D30">
        <w:rPr>
          <w:rFonts w:eastAsia="Arial" w:cs="Arial"/>
          <w:color w:val="000000"/>
          <w:sz w:val="20"/>
        </w:rPr>
        <w:t xml:space="preserve">maximum </w:t>
      </w:r>
      <w:r w:rsidR="00CD78D1" w:rsidRPr="009E5D30">
        <w:rPr>
          <w:rFonts w:eastAsia="Arial" w:cs="Arial"/>
          <w:color w:val="000000"/>
          <w:sz w:val="20"/>
        </w:rPr>
        <w:t xml:space="preserve">export </w:t>
      </w:r>
      <w:r w:rsidR="005C47C5">
        <w:rPr>
          <w:rFonts w:eastAsia="Arial" w:cs="Arial"/>
          <w:color w:val="000000"/>
          <w:sz w:val="20"/>
        </w:rPr>
        <w:t>capacity</w:t>
      </w:r>
      <w:r w:rsidR="00CD78D1" w:rsidRPr="009E5D30">
        <w:rPr>
          <w:rFonts w:eastAsia="Arial" w:cs="Arial"/>
          <w:color w:val="000000"/>
          <w:sz w:val="20"/>
        </w:rPr>
        <w:t xml:space="preserve"> shall </w:t>
      </w:r>
      <w:r w:rsidR="00014589">
        <w:rPr>
          <w:rFonts w:eastAsia="Arial" w:cs="Arial"/>
          <w:color w:val="000000"/>
          <w:sz w:val="20"/>
        </w:rPr>
        <w:t>not exceed</w:t>
      </w:r>
      <w:r w:rsidR="00CD78D1" w:rsidRPr="009E5D30">
        <w:rPr>
          <w:rFonts w:eastAsia="Arial" w:cs="Arial"/>
          <w:color w:val="000000"/>
          <w:sz w:val="20"/>
        </w:rPr>
        <w:t xml:space="preserve"> 25% of the customers</w:t>
      </w:r>
      <w:r w:rsidRPr="009E5D30">
        <w:rPr>
          <w:rFonts w:eastAsia="Arial" w:cs="Arial"/>
          <w:color w:val="000000"/>
          <w:sz w:val="20"/>
        </w:rPr>
        <w:t xml:space="preserve"> NMD</w:t>
      </w:r>
      <w:bookmarkEnd w:id="50"/>
    </w:p>
    <w:p w14:paraId="2A2682D0" w14:textId="78FA7760" w:rsidR="00117181" w:rsidRPr="009E5D30" w:rsidRDefault="00483BDD" w:rsidP="009E5D30">
      <w:pPr>
        <w:pStyle w:val="ListParagraph"/>
        <w:numPr>
          <w:ilvl w:val="0"/>
          <w:numId w:val="16"/>
        </w:numPr>
        <w:pBdr>
          <w:top w:val="nil"/>
          <w:left w:val="nil"/>
          <w:bottom w:val="nil"/>
          <w:right w:val="nil"/>
          <w:between w:val="nil"/>
        </w:pBdr>
        <w:spacing w:line="276" w:lineRule="auto"/>
        <w:jc w:val="both"/>
        <w:rPr>
          <w:rFonts w:eastAsia="Arial" w:cs="Arial"/>
          <w:color w:val="000000"/>
        </w:rPr>
      </w:pPr>
      <w:bookmarkStart w:id="51" w:name="_Toc128033246"/>
      <w:r w:rsidRPr="009E5D30">
        <w:rPr>
          <w:rFonts w:eastAsia="Arial" w:cs="Arial"/>
          <w:color w:val="000000"/>
          <w:sz w:val="20"/>
        </w:rPr>
        <w:t>Maximum battery</w:t>
      </w:r>
      <w:r w:rsidR="00356AD1">
        <w:rPr>
          <w:rFonts w:eastAsia="Arial" w:cs="Arial"/>
          <w:color w:val="000000"/>
          <w:sz w:val="20"/>
        </w:rPr>
        <w:t>/storage</w:t>
      </w:r>
      <w:r w:rsidRPr="009E5D30">
        <w:rPr>
          <w:rFonts w:eastAsia="Arial" w:cs="Arial"/>
          <w:color w:val="000000"/>
          <w:sz w:val="20"/>
        </w:rPr>
        <w:t xml:space="preserve"> charging current shall </w:t>
      </w:r>
      <w:r w:rsidR="00CB5757">
        <w:rPr>
          <w:rFonts w:eastAsia="Arial" w:cs="Arial"/>
          <w:color w:val="000000"/>
          <w:sz w:val="20"/>
        </w:rPr>
        <w:t>not exceed</w:t>
      </w:r>
      <w:r w:rsidRPr="009E5D30">
        <w:rPr>
          <w:rFonts w:eastAsia="Arial" w:cs="Arial"/>
          <w:color w:val="000000"/>
          <w:sz w:val="20"/>
        </w:rPr>
        <w:t xml:space="preserve"> 25%</w:t>
      </w:r>
      <w:r w:rsidR="00F379D6" w:rsidRPr="009E5D30">
        <w:rPr>
          <w:rFonts w:eastAsia="Arial" w:cs="Arial"/>
          <w:color w:val="000000"/>
          <w:sz w:val="20"/>
        </w:rPr>
        <w:t xml:space="preserve"> of the </w:t>
      </w:r>
      <w:r w:rsidR="00F00040" w:rsidRPr="009E5D30">
        <w:rPr>
          <w:rFonts w:eastAsia="Arial" w:cs="Arial"/>
          <w:color w:val="000000"/>
          <w:sz w:val="20"/>
        </w:rPr>
        <w:t>NMD</w:t>
      </w:r>
      <w:r w:rsidR="0031583C">
        <w:rPr>
          <w:rStyle w:val="FootnoteReference"/>
          <w:rFonts w:eastAsia="Arial" w:cs="Arial"/>
          <w:color w:val="000000"/>
          <w:sz w:val="20"/>
        </w:rPr>
        <w:footnoteReference w:id="3"/>
      </w:r>
      <w:bookmarkEnd w:id="51"/>
    </w:p>
    <w:p w14:paraId="43FC417A" w14:textId="137C89A3"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following SSEG size limitations are derived from NRS 097-2-3 for Shared LV connections. </w:t>
      </w:r>
    </w:p>
    <w:p w14:paraId="43FC417B"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7C" w14:textId="3A1B404F" w:rsidR="009045EB" w:rsidRDefault="0072593A">
      <w:pPr>
        <w:pBdr>
          <w:top w:val="nil"/>
          <w:left w:val="nil"/>
          <w:bottom w:val="nil"/>
          <w:right w:val="nil"/>
          <w:between w:val="nil"/>
        </w:pBdr>
        <w:spacing w:before="120" w:after="120"/>
        <w:ind w:left="357" w:hanging="357"/>
        <w:rPr>
          <w:rFonts w:ascii="Arial" w:eastAsia="Arial" w:hAnsi="Arial" w:cs="Arial"/>
          <w:i/>
          <w:color w:val="75B5E4"/>
          <w:szCs w:val="20"/>
        </w:rPr>
      </w:pPr>
      <w:bookmarkStart w:id="52" w:name="_heading=h.nmf14n" w:colFirst="0" w:colLast="0"/>
      <w:bookmarkEnd w:id="52"/>
      <w:r>
        <w:rPr>
          <w:rFonts w:ascii="Arial" w:eastAsia="Arial" w:hAnsi="Arial" w:cs="Arial"/>
          <w:i/>
          <w:color w:val="75B5E4"/>
          <w:szCs w:val="20"/>
        </w:rPr>
        <w:t>Table 3: SSEG size limitations - NRS 097-2-3 for Shared LV connections</w:t>
      </w:r>
    </w:p>
    <w:tbl>
      <w:tblPr>
        <w:tblW w:w="8600" w:type="dxa"/>
        <w:tblLook w:val="04A0" w:firstRow="1" w:lastRow="0" w:firstColumn="1" w:lastColumn="0" w:noHBand="0" w:noVBand="1"/>
      </w:tblPr>
      <w:tblGrid>
        <w:gridCol w:w="1125"/>
        <w:gridCol w:w="1480"/>
        <w:gridCol w:w="1474"/>
        <w:gridCol w:w="1298"/>
        <w:gridCol w:w="1514"/>
        <w:gridCol w:w="1709"/>
      </w:tblGrid>
      <w:tr w:rsidR="00C402ED" w:rsidRPr="00C402ED" w14:paraId="18BF6448" w14:textId="77777777" w:rsidTr="009E5D30">
        <w:trPr>
          <w:trHeight w:val="341"/>
          <w:tblHeader/>
        </w:trPr>
        <w:tc>
          <w:tcPr>
            <w:tcW w:w="4079"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3C7E85D6" w14:textId="370D9E1A" w:rsidR="000D64AE" w:rsidRPr="009E5D30" w:rsidRDefault="000D64AE" w:rsidP="000D12FA">
            <w:pPr>
              <w:spacing w:line="240" w:lineRule="auto"/>
              <w:jc w:val="center"/>
              <w:rPr>
                <w:rFonts w:ascii="Calibri" w:hAnsi="Calibri" w:cs="Calibri"/>
                <w:b/>
                <w:bCs/>
                <w:color w:val="FFFFFF" w:themeColor="background1"/>
                <w:szCs w:val="20"/>
                <w:lang w:val="en-ZA" w:eastAsia="en-ZA"/>
              </w:rPr>
            </w:pPr>
            <w:r w:rsidRPr="009E5D30">
              <w:rPr>
                <w:rFonts w:ascii="Calibri" w:hAnsi="Calibri" w:cs="Calibri"/>
                <w:b/>
                <w:bCs/>
                <w:color w:val="FFFFFF" w:themeColor="background1"/>
                <w:szCs w:val="20"/>
                <w:lang w:val="en-ZA" w:eastAsia="en-ZA"/>
              </w:rPr>
              <w:t>Service connection</w:t>
            </w:r>
          </w:p>
        </w:tc>
        <w:tc>
          <w:tcPr>
            <w:tcW w:w="4521" w:type="dxa"/>
            <w:gridSpan w:val="3"/>
            <w:tcBorders>
              <w:top w:val="single" w:sz="4" w:space="0" w:color="auto"/>
              <w:left w:val="nil"/>
              <w:bottom w:val="single" w:sz="4" w:space="0" w:color="auto"/>
              <w:right w:val="single" w:sz="4" w:space="0" w:color="auto"/>
            </w:tcBorders>
            <w:shd w:val="clear" w:color="auto" w:fill="1C6194" w:themeFill="accent6" w:themeFillShade="BF"/>
            <w:vAlign w:val="bottom"/>
          </w:tcPr>
          <w:p w14:paraId="71DBCFCA" w14:textId="7807A42A" w:rsidR="000D64AE" w:rsidRPr="009E5D30" w:rsidRDefault="000D64AE" w:rsidP="000D12FA">
            <w:pPr>
              <w:spacing w:line="240" w:lineRule="auto"/>
              <w:jc w:val="center"/>
              <w:rPr>
                <w:rFonts w:ascii="Calibri" w:hAnsi="Calibri" w:cs="Calibri"/>
                <w:b/>
                <w:bCs/>
                <w:color w:val="FFFFFF" w:themeColor="background1"/>
                <w:szCs w:val="20"/>
                <w:lang w:val="en-ZA" w:eastAsia="en-ZA"/>
              </w:rPr>
            </w:pPr>
            <w:r w:rsidRPr="009E5D30">
              <w:rPr>
                <w:rFonts w:ascii="Calibri" w:hAnsi="Calibri" w:cs="Calibri"/>
                <w:b/>
                <w:bCs/>
                <w:color w:val="FFFFFF" w:themeColor="background1"/>
                <w:szCs w:val="20"/>
                <w:lang w:val="en-ZA" w:eastAsia="en-ZA"/>
              </w:rPr>
              <w:t>SSEG parameters</w:t>
            </w:r>
          </w:p>
        </w:tc>
      </w:tr>
      <w:tr w:rsidR="000D64AE" w:rsidRPr="000D12FA" w14:paraId="55AA36C7" w14:textId="77777777" w:rsidTr="009E5D30">
        <w:trPr>
          <w:trHeight w:val="1050"/>
          <w:tblHeader/>
        </w:trPr>
        <w:tc>
          <w:tcPr>
            <w:tcW w:w="1125" w:type="dxa"/>
            <w:tcBorders>
              <w:top w:val="single" w:sz="4" w:space="0" w:color="auto"/>
              <w:left w:val="single" w:sz="4" w:space="0" w:color="auto"/>
              <w:bottom w:val="single" w:sz="4" w:space="0" w:color="auto"/>
              <w:right w:val="single" w:sz="4" w:space="0" w:color="auto"/>
            </w:tcBorders>
            <w:shd w:val="clear" w:color="auto" w:fill="3494BA" w:themeFill="accent1"/>
            <w:vAlign w:val="bottom"/>
            <w:hideMark/>
          </w:tcPr>
          <w:p w14:paraId="2B8A30AF" w14:textId="77777777" w:rsidR="000D12FA" w:rsidRPr="009E5D30" w:rsidRDefault="000D12FA" w:rsidP="000D12FA">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No phases</w:t>
            </w:r>
          </w:p>
        </w:tc>
        <w:tc>
          <w:tcPr>
            <w:tcW w:w="1480" w:type="dxa"/>
            <w:tcBorders>
              <w:top w:val="single" w:sz="4" w:space="0" w:color="auto"/>
              <w:left w:val="nil"/>
              <w:bottom w:val="single" w:sz="4" w:space="0" w:color="auto"/>
              <w:right w:val="single" w:sz="4" w:space="0" w:color="auto"/>
            </w:tcBorders>
            <w:shd w:val="clear" w:color="auto" w:fill="3494BA" w:themeFill="accent1"/>
            <w:vAlign w:val="bottom"/>
            <w:hideMark/>
          </w:tcPr>
          <w:p w14:paraId="6F7A7147" w14:textId="77777777" w:rsidR="000D12FA" w:rsidRPr="009E5D30" w:rsidRDefault="000D12FA" w:rsidP="000D12FA">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Service circuit breaker (A)</w:t>
            </w:r>
          </w:p>
        </w:tc>
        <w:tc>
          <w:tcPr>
            <w:tcW w:w="1474" w:type="dxa"/>
            <w:tcBorders>
              <w:top w:val="single" w:sz="4" w:space="0" w:color="auto"/>
              <w:left w:val="nil"/>
              <w:bottom w:val="single" w:sz="4" w:space="0" w:color="auto"/>
              <w:right w:val="single" w:sz="4" w:space="0" w:color="auto"/>
            </w:tcBorders>
            <w:shd w:val="clear" w:color="auto" w:fill="3494BA" w:themeFill="accent1"/>
            <w:vAlign w:val="bottom"/>
            <w:hideMark/>
          </w:tcPr>
          <w:p w14:paraId="4758AA7A" w14:textId="77777777" w:rsidR="000D12FA" w:rsidRPr="009E5D30" w:rsidRDefault="000D12FA" w:rsidP="000D12FA">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Maximum demand (NMD) (kVA)</w:t>
            </w:r>
          </w:p>
        </w:tc>
        <w:tc>
          <w:tcPr>
            <w:tcW w:w="1298" w:type="dxa"/>
            <w:tcBorders>
              <w:top w:val="single" w:sz="4" w:space="0" w:color="auto"/>
              <w:left w:val="nil"/>
              <w:bottom w:val="single" w:sz="4" w:space="0" w:color="auto"/>
              <w:right w:val="single" w:sz="4" w:space="0" w:color="auto"/>
            </w:tcBorders>
            <w:shd w:val="clear" w:color="auto" w:fill="3494BA" w:themeFill="accent1"/>
            <w:vAlign w:val="bottom"/>
            <w:hideMark/>
          </w:tcPr>
          <w:p w14:paraId="2F90E390" w14:textId="77777777" w:rsidR="000D12FA" w:rsidRPr="009E5D30" w:rsidRDefault="000D12FA" w:rsidP="000D12FA">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Max export capacity (kVA) (25%)</w:t>
            </w:r>
          </w:p>
        </w:tc>
        <w:tc>
          <w:tcPr>
            <w:tcW w:w="1514" w:type="dxa"/>
            <w:tcBorders>
              <w:top w:val="single" w:sz="4" w:space="0" w:color="auto"/>
              <w:left w:val="nil"/>
              <w:bottom w:val="single" w:sz="4" w:space="0" w:color="auto"/>
              <w:right w:val="single" w:sz="4" w:space="0" w:color="auto"/>
            </w:tcBorders>
            <w:shd w:val="clear" w:color="auto" w:fill="3494BA" w:themeFill="accent1"/>
            <w:vAlign w:val="bottom"/>
            <w:hideMark/>
          </w:tcPr>
          <w:p w14:paraId="6476CB99" w14:textId="77777777" w:rsidR="000D12FA" w:rsidRPr="009E5D30" w:rsidRDefault="000D12FA" w:rsidP="000D12FA">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Max nameplate power rating (kVA) (100%)</w:t>
            </w:r>
          </w:p>
        </w:tc>
        <w:tc>
          <w:tcPr>
            <w:tcW w:w="1709" w:type="dxa"/>
            <w:tcBorders>
              <w:top w:val="single" w:sz="4" w:space="0" w:color="auto"/>
              <w:left w:val="nil"/>
              <w:bottom w:val="single" w:sz="4" w:space="0" w:color="auto"/>
              <w:right w:val="single" w:sz="4" w:space="0" w:color="auto"/>
            </w:tcBorders>
            <w:shd w:val="clear" w:color="auto" w:fill="3494BA" w:themeFill="accent1"/>
            <w:vAlign w:val="bottom"/>
            <w:hideMark/>
          </w:tcPr>
          <w:p w14:paraId="3C6DA6F1" w14:textId="77777777" w:rsidR="000D12FA" w:rsidRPr="009E5D30" w:rsidRDefault="000D12FA" w:rsidP="000D12FA">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Max battery charging current (per phase) (A) (25%)</w:t>
            </w:r>
          </w:p>
        </w:tc>
      </w:tr>
      <w:tr w:rsidR="00EF6658" w:rsidRPr="000D12FA" w14:paraId="02A2B159"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vAlign w:val="bottom"/>
            <w:hideMark/>
          </w:tcPr>
          <w:p w14:paraId="7E045837"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w:t>
            </w:r>
          </w:p>
        </w:tc>
        <w:tc>
          <w:tcPr>
            <w:tcW w:w="1480" w:type="dxa"/>
            <w:tcBorders>
              <w:top w:val="nil"/>
              <w:left w:val="nil"/>
              <w:bottom w:val="single" w:sz="4" w:space="0" w:color="auto"/>
              <w:right w:val="single" w:sz="4" w:space="0" w:color="auto"/>
            </w:tcBorders>
            <w:shd w:val="clear" w:color="auto" w:fill="D4EAF3" w:themeFill="accent1" w:themeFillTint="33"/>
            <w:vAlign w:val="bottom"/>
            <w:hideMark/>
          </w:tcPr>
          <w:p w14:paraId="07B933B7"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67019F2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9.2</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4443E420"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2.3</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7B937F9B"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9.2</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6493514C"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w:t>
            </w:r>
          </w:p>
        </w:tc>
      </w:tr>
      <w:tr w:rsidR="00EF6658" w:rsidRPr="000D12FA" w14:paraId="54E8F0EB"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367A438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0B7E561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08BA5182"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14</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6ED599D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3.5</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137B3D4C"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13.8</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79EB5A02"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w:t>
            </w:r>
          </w:p>
        </w:tc>
      </w:tr>
      <w:tr w:rsidR="00EF6658" w:rsidRPr="000D12FA" w14:paraId="7848182D"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076F3A52"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511D1230"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634F905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18</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7E60DEF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4.6</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6557DFD6"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18.4</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7732F0A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w:t>
            </w:r>
          </w:p>
        </w:tc>
      </w:tr>
      <w:tr w:rsidR="00EF6658" w:rsidRPr="000D12FA" w14:paraId="3FD46CA7"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00D475F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71BDD200"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1A2E4B5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28</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7D0CA82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7</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699C1425"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28</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23BDB4F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w:t>
            </w:r>
          </w:p>
        </w:tc>
      </w:tr>
      <w:tr w:rsidR="00EF6658" w:rsidRPr="000D12FA" w14:paraId="59CB032A"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5359255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1DFAA9A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344AB80B"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41</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31835211"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15F02860"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41</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3949A851"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w:t>
            </w:r>
          </w:p>
        </w:tc>
      </w:tr>
      <w:tr w:rsidR="00EF6658" w:rsidRPr="000D12FA" w14:paraId="2E80AE24"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5C4556F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6B274E53"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5DF4B040"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55</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0F1A68E3"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14</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03367395"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55</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5AFCC78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w:t>
            </w:r>
          </w:p>
        </w:tc>
      </w:tr>
      <w:tr w:rsidR="00EF6658" w:rsidRPr="000D12FA" w14:paraId="36048A54"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19A568DB"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79B461DC"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181B3FFE"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69</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6872AB8B"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17</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122BDD26"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69</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37CFB2A1"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w:t>
            </w:r>
          </w:p>
        </w:tc>
      </w:tr>
      <w:tr w:rsidR="00EF6658" w:rsidRPr="000D12FA" w14:paraId="085AEA14"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673B8910"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lastRenderedPageBreak/>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72060EC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125</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6D715AE1"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86</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30B85650"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22</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2AD3F62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86</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2098289E"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31</w:t>
            </w:r>
          </w:p>
        </w:tc>
      </w:tr>
      <w:tr w:rsidR="00EF6658" w:rsidRPr="000D12FA" w14:paraId="1842F64B"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22D2A8FB"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06A96301"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2B47CB3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104</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7C4C037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26</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0B2E3AE3"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104</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0795C8B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38</w:t>
            </w:r>
          </w:p>
        </w:tc>
      </w:tr>
      <w:tr w:rsidR="00EF6658" w:rsidRPr="000D12FA" w14:paraId="50299402"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5BEF69D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0ABC7211"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175</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7A70AD8B"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121</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4FBEB69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30</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62708E75"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121</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13160E26"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44</w:t>
            </w:r>
          </w:p>
        </w:tc>
      </w:tr>
      <w:tr w:rsidR="00EF6658" w:rsidRPr="000D12FA" w14:paraId="2F300B6B"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661FE026"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6FE70052"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0C0446EC"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138</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1B218C66"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35</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7113F586"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138</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25BF190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50</w:t>
            </w:r>
          </w:p>
        </w:tc>
      </w:tr>
      <w:tr w:rsidR="00EF6658" w:rsidRPr="000D12FA" w14:paraId="30263865"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6132D49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7612CB6B"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225</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4A12BFE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155</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4C5900D2"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39</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0D81547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155</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3591A9A7"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56</w:t>
            </w:r>
          </w:p>
        </w:tc>
      </w:tr>
      <w:tr w:rsidR="00EF6658" w:rsidRPr="000D12FA" w14:paraId="5FD2A965"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454E548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690DB713"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4E3553A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173</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6ED72241"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43</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4E4A09BB"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173</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096416F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63</w:t>
            </w:r>
          </w:p>
        </w:tc>
      </w:tr>
      <w:tr w:rsidR="00EF6658" w:rsidRPr="000D12FA" w14:paraId="186A1A5A"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2FB97E7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7A34FE2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275</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5E073273"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190</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5527519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47</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6072430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190</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1A826BB1"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69</w:t>
            </w:r>
          </w:p>
        </w:tc>
      </w:tr>
      <w:tr w:rsidR="00EF6658" w:rsidRPr="000D12FA" w14:paraId="0315ADFD"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3981B940"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40AC9BD3"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300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38E2C3B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207</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6E7C44E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52</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306C8646"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207</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4E67E6F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75</w:t>
            </w:r>
          </w:p>
        </w:tc>
      </w:tr>
      <w:tr w:rsidR="00EF6658" w:rsidRPr="000D12FA" w14:paraId="773EC094"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71C0853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01C3AC0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325</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4AAB950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224</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338143DA"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56</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0114DAEA"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224</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181EF8E2"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81</w:t>
            </w:r>
          </w:p>
        </w:tc>
      </w:tr>
      <w:tr w:rsidR="00EF6658" w:rsidRPr="000D12FA" w14:paraId="33BFBE02"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3D6EE83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62D02EC5"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350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679F27C3"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242</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5FC548C4"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60</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2E857ABE"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242</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51C2A84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88</w:t>
            </w:r>
          </w:p>
        </w:tc>
      </w:tr>
      <w:tr w:rsidR="00EF6658" w:rsidRPr="000D12FA" w14:paraId="0915361E"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5DE92E5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55A4853E"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375</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23988519"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259</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2D36E74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65</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2E5438E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259</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7018F8FF"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94</w:t>
            </w:r>
          </w:p>
        </w:tc>
      </w:tr>
      <w:tr w:rsidR="00EF6658" w:rsidRPr="000D12FA" w14:paraId="3F63D593" w14:textId="77777777" w:rsidTr="00EF6658">
        <w:trPr>
          <w:trHeight w:val="288"/>
        </w:trPr>
        <w:tc>
          <w:tcPr>
            <w:tcW w:w="1125"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0DC9CA88"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480" w:type="dxa"/>
            <w:tcBorders>
              <w:top w:val="nil"/>
              <w:left w:val="nil"/>
              <w:bottom w:val="single" w:sz="4" w:space="0" w:color="auto"/>
              <w:right w:val="single" w:sz="4" w:space="0" w:color="auto"/>
            </w:tcBorders>
            <w:shd w:val="clear" w:color="auto" w:fill="D4EAF3" w:themeFill="accent1" w:themeFillTint="33"/>
            <w:noWrap/>
            <w:vAlign w:val="bottom"/>
            <w:hideMark/>
          </w:tcPr>
          <w:p w14:paraId="116B8EA3"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400</w:t>
            </w:r>
          </w:p>
        </w:tc>
        <w:tc>
          <w:tcPr>
            <w:tcW w:w="1474" w:type="dxa"/>
            <w:tcBorders>
              <w:top w:val="nil"/>
              <w:left w:val="nil"/>
              <w:bottom w:val="single" w:sz="4" w:space="0" w:color="auto"/>
              <w:right w:val="single" w:sz="4" w:space="0" w:color="auto"/>
            </w:tcBorders>
            <w:shd w:val="clear" w:color="auto" w:fill="D4EAF3" w:themeFill="accent1" w:themeFillTint="33"/>
            <w:vAlign w:val="bottom"/>
            <w:hideMark/>
          </w:tcPr>
          <w:p w14:paraId="664BC4C6"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276</w:t>
            </w:r>
          </w:p>
        </w:tc>
        <w:tc>
          <w:tcPr>
            <w:tcW w:w="1298" w:type="dxa"/>
            <w:tcBorders>
              <w:top w:val="nil"/>
              <w:left w:val="nil"/>
              <w:bottom w:val="single" w:sz="4" w:space="0" w:color="auto"/>
              <w:right w:val="single" w:sz="4" w:space="0" w:color="auto"/>
            </w:tcBorders>
            <w:shd w:val="clear" w:color="auto" w:fill="D4EAF3" w:themeFill="accent1" w:themeFillTint="33"/>
            <w:vAlign w:val="bottom"/>
            <w:hideMark/>
          </w:tcPr>
          <w:p w14:paraId="03C8DDAA"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69</w:t>
            </w:r>
          </w:p>
        </w:tc>
        <w:tc>
          <w:tcPr>
            <w:tcW w:w="1514" w:type="dxa"/>
            <w:tcBorders>
              <w:top w:val="nil"/>
              <w:left w:val="nil"/>
              <w:bottom w:val="single" w:sz="4" w:space="0" w:color="auto"/>
              <w:right w:val="single" w:sz="4" w:space="0" w:color="auto"/>
            </w:tcBorders>
            <w:shd w:val="clear" w:color="auto" w:fill="D4EAF3" w:themeFill="accent1" w:themeFillTint="33"/>
            <w:vAlign w:val="bottom"/>
            <w:hideMark/>
          </w:tcPr>
          <w:p w14:paraId="4BEC6E4A"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276</w:t>
            </w:r>
          </w:p>
        </w:tc>
        <w:tc>
          <w:tcPr>
            <w:tcW w:w="1709" w:type="dxa"/>
            <w:tcBorders>
              <w:top w:val="nil"/>
              <w:left w:val="nil"/>
              <w:bottom w:val="single" w:sz="4" w:space="0" w:color="auto"/>
              <w:right w:val="single" w:sz="4" w:space="0" w:color="auto"/>
            </w:tcBorders>
            <w:shd w:val="clear" w:color="auto" w:fill="D4EAF3" w:themeFill="accent1" w:themeFillTint="33"/>
            <w:vAlign w:val="bottom"/>
            <w:hideMark/>
          </w:tcPr>
          <w:p w14:paraId="484FFB2D" w14:textId="77777777" w:rsidR="000D12FA" w:rsidRPr="009E5D30" w:rsidRDefault="000D12FA" w:rsidP="000D12FA">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100</w:t>
            </w:r>
          </w:p>
        </w:tc>
      </w:tr>
    </w:tbl>
    <w:p w14:paraId="2071AA56" w14:textId="77777777" w:rsidR="00197181" w:rsidRPr="009E5D30" w:rsidRDefault="00197181" w:rsidP="009E5D30">
      <w:pPr>
        <w:pStyle w:val="BodyText"/>
        <w:rPr>
          <w:sz w:val="12"/>
          <w:szCs w:val="12"/>
        </w:rPr>
      </w:pPr>
    </w:p>
    <w:p w14:paraId="43FC41AB" w14:textId="77777777" w:rsidR="009045EB" w:rsidRPr="009E5D30" w:rsidRDefault="0072593A">
      <w:pPr>
        <w:keepNext/>
        <w:keepLines/>
        <w:jc w:val="both"/>
        <w:rPr>
          <w:rFonts w:ascii="Arial" w:eastAsia="Arial" w:hAnsi="Arial" w:cs="Arial"/>
          <w:i/>
          <w:color w:val="000000"/>
          <w:sz w:val="16"/>
          <w:szCs w:val="16"/>
        </w:rPr>
      </w:pPr>
      <w:r w:rsidRPr="009E5D30">
        <w:rPr>
          <w:rFonts w:ascii="Arial" w:eastAsia="Arial" w:hAnsi="Arial" w:cs="Arial"/>
          <w:i/>
          <w:color w:val="000000"/>
          <w:sz w:val="16"/>
          <w:szCs w:val="16"/>
        </w:rPr>
        <w:t>Notes to table:</w:t>
      </w:r>
    </w:p>
    <w:p w14:paraId="43FC41AC" w14:textId="75F4B5FA" w:rsidR="009045EB" w:rsidRPr="009E5D30" w:rsidRDefault="0072593A">
      <w:pPr>
        <w:keepLines/>
        <w:numPr>
          <w:ilvl w:val="0"/>
          <w:numId w:val="8"/>
        </w:numPr>
        <w:pBdr>
          <w:top w:val="nil"/>
          <w:left w:val="nil"/>
          <w:bottom w:val="nil"/>
          <w:right w:val="nil"/>
          <w:between w:val="nil"/>
        </w:pBdr>
        <w:spacing w:line="276" w:lineRule="auto"/>
        <w:jc w:val="both"/>
        <w:rPr>
          <w:rFonts w:ascii="Arial" w:eastAsia="Arial" w:hAnsi="Arial" w:cs="Arial"/>
          <w:i/>
          <w:color w:val="000000"/>
          <w:sz w:val="16"/>
          <w:szCs w:val="16"/>
        </w:rPr>
      </w:pPr>
      <w:r w:rsidRPr="009E5D30">
        <w:rPr>
          <w:rFonts w:ascii="Arial" w:eastAsia="Arial" w:hAnsi="Arial" w:cs="Arial"/>
          <w:i/>
          <w:color w:val="000000"/>
          <w:sz w:val="16"/>
          <w:szCs w:val="16"/>
        </w:rPr>
        <w:t xml:space="preserve">To determine if </w:t>
      </w:r>
      <w:r w:rsidR="00413C92" w:rsidRPr="009E5D30">
        <w:rPr>
          <w:rFonts w:ascii="Arial" w:eastAsia="Arial" w:hAnsi="Arial" w:cs="Arial"/>
          <w:i/>
          <w:color w:val="000000"/>
          <w:sz w:val="16"/>
          <w:szCs w:val="16"/>
        </w:rPr>
        <w:t>it is</w:t>
      </w:r>
      <w:r w:rsidRPr="009E5D30">
        <w:rPr>
          <w:rFonts w:ascii="Arial" w:eastAsia="Arial" w:hAnsi="Arial" w:cs="Arial"/>
          <w:i/>
          <w:color w:val="000000"/>
          <w:sz w:val="16"/>
          <w:szCs w:val="16"/>
        </w:rPr>
        <w:t xml:space="preserve"> a single-phase or three-phase connection, check the main circuit-breaker on the distribution board. A single-phase supply will generally have a single main circuit-breaker, and a three-phase a triple main circuit-breaker. If in doubt consult an electrician.</w:t>
      </w:r>
    </w:p>
    <w:p w14:paraId="43FC41AD" w14:textId="47F6248B" w:rsidR="009045EB" w:rsidRPr="009E5D30" w:rsidRDefault="0072593A">
      <w:pPr>
        <w:keepLines/>
        <w:numPr>
          <w:ilvl w:val="0"/>
          <w:numId w:val="8"/>
        </w:numPr>
        <w:pBdr>
          <w:top w:val="nil"/>
          <w:left w:val="nil"/>
          <w:bottom w:val="nil"/>
          <w:right w:val="nil"/>
          <w:between w:val="nil"/>
        </w:pBdr>
        <w:spacing w:after="200" w:line="276" w:lineRule="auto"/>
        <w:jc w:val="both"/>
        <w:rPr>
          <w:rFonts w:ascii="Arial" w:eastAsia="Arial" w:hAnsi="Arial" w:cs="Arial"/>
          <w:i/>
          <w:color w:val="000000"/>
          <w:sz w:val="16"/>
          <w:szCs w:val="16"/>
        </w:rPr>
      </w:pPr>
      <w:r w:rsidRPr="009E5D30">
        <w:rPr>
          <w:rFonts w:ascii="Arial" w:eastAsia="Arial" w:hAnsi="Arial" w:cs="Arial"/>
          <w:i/>
          <w:color w:val="000000"/>
          <w:sz w:val="16"/>
          <w:szCs w:val="16"/>
        </w:rPr>
        <w:t>‘</w:t>
      </w:r>
      <w:r w:rsidRPr="009E5D30">
        <w:rPr>
          <w:rFonts w:ascii="Arial" w:eastAsia="Arial" w:hAnsi="Arial" w:cs="Arial"/>
          <w:b/>
          <w:i/>
          <w:color w:val="000000"/>
          <w:sz w:val="16"/>
          <w:szCs w:val="16"/>
        </w:rPr>
        <w:t xml:space="preserve">Maximum </w:t>
      </w:r>
      <w:r w:rsidR="008026D4" w:rsidRPr="009E5D30">
        <w:rPr>
          <w:rFonts w:ascii="Arial" w:eastAsia="Arial" w:hAnsi="Arial" w:cs="Arial"/>
          <w:b/>
          <w:i/>
          <w:color w:val="000000"/>
          <w:sz w:val="16"/>
          <w:szCs w:val="16"/>
        </w:rPr>
        <w:t>nameplate power rating</w:t>
      </w:r>
      <w:r w:rsidRPr="009E5D30">
        <w:rPr>
          <w:rFonts w:ascii="Arial" w:eastAsia="Arial" w:hAnsi="Arial" w:cs="Arial"/>
          <w:b/>
          <w:i/>
          <w:color w:val="000000"/>
          <w:sz w:val="16"/>
          <w:szCs w:val="16"/>
        </w:rPr>
        <w:t>’</w:t>
      </w:r>
      <w:r w:rsidRPr="009E5D30">
        <w:rPr>
          <w:rFonts w:ascii="Arial" w:eastAsia="Arial" w:hAnsi="Arial" w:cs="Arial"/>
          <w:i/>
          <w:color w:val="000000"/>
          <w:sz w:val="16"/>
          <w:szCs w:val="16"/>
        </w:rPr>
        <w:t xml:space="preserve"> refers to the total output capacity of the generator. For PV systems in particular, this </w:t>
      </w:r>
      <w:r w:rsidRPr="009E5D30">
        <w:rPr>
          <w:rFonts w:ascii="Arial" w:eastAsia="Arial" w:hAnsi="Arial" w:cs="Arial"/>
          <w:i/>
          <w:color w:val="000000"/>
          <w:sz w:val="16"/>
          <w:szCs w:val="16"/>
          <w:u w:val="single"/>
        </w:rPr>
        <w:t>refers to the maximum output of the inverter</w:t>
      </w:r>
      <w:r w:rsidRPr="009E5D30">
        <w:rPr>
          <w:rFonts w:ascii="Arial" w:eastAsia="Arial" w:hAnsi="Arial" w:cs="Arial"/>
          <w:i/>
          <w:color w:val="000000"/>
          <w:sz w:val="16"/>
          <w:szCs w:val="16"/>
        </w:rPr>
        <w:t>. Due to system losses this is typically 10 to 20% lower than the maximum output of the PV panels, which is specified in DC kilo-Watt-peak (kWp). The system designer/installer will provide guidance here.</w:t>
      </w:r>
    </w:p>
    <w:p w14:paraId="43FC41B2" w14:textId="77777777" w:rsidR="009045EB" w:rsidRDefault="0072593A">
      <w:pPr>
        <w:pStyle w:val="Heading2"/>
        <w:numPr>
          <w:ilvl w:val="1"/>
          <w:numId w:val="12"/>
        </w:numPr>
      </w:pPr>
      <w:bookmarkStart w:id="53" w:name="_Toc128033247"/>
      <w:r>
        <w:t>Dedicated LV feeders</w:t>
      </w:r>
      <w:bookmarkEnd w:id="53"/>
    </w:p>
    <w:p w14:paraId="43FC41B3" w14:textId="01F28B2E" w:rsidR="009045EB" w:rsidRDefault="0072593A">
      <w:pPr>
        <w:jc w:val="both"/>
        <w:rPr>
          <w:rFonts w:ascii="Arial" w:eastAsia="Arial" w:hAnsi="Arial" w:cs="Arial"/>
        </w:rPr>
      </w:pPr>
      <w:r>
        <w:rPr>
          <w:rFonts w:ascii="Arial" w:eastAsia="Arial" w:hAnsi="Arial" w:cs="Arial"/>
        </w:rPr>
        <w:t xml:space="preserve">On dedicated LV feeders the maximum generator size is limited to 75% of the NMD. </w:t>
      </w:r>
    </w:p>
    <w:p w14:paraId="50D227F8" w14:textId="6D0FB705" w:rsidR="00AC7A01" w:rsidRDefault="00AC7A01" w:rsidP="00AC7A01">
      <w:pPr>
        <w:pStyle w:val="BodyText"/>
        <w:rPr>
          <w:lang w:val="en-GB"/>
        </w:rPr>
      </w:pPr>
    </w:p>
    <w:p w14:paraId="42781EFA" w14:textId="2EDDBA5B" w:rsidR="00AC7A01" w:rsidRDefault="00AC7A01" w:rsidP="00AC7A01">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NRS 097-2-3 specifies that the maximum individual limit on a </w:t>
      </w:r>
      <w:r w:rsidR="00E15763">
        <w:rPr>
          <w:rFonts w:ascii="Arial" w:eastAsia="Arial" w:hAnsi="Arial" w:cs="Arial"/>
          <w:color w:val="000000"/>
          <w:szCs w:val="20"/>
        </w:rPr>
        <w:t>D</w:t>
      </w:r>
      <w:r w:rsidR="005F7ED0">
        <w:rPr>
          <w:rFonts w:ascii="Arial" w:eastAsia="Arial" w:hAnsi="Arial" w:cs="Arial"/>
          <w:color w:val="000000"/>
          <w:szCs w:val="20"/>
        </w:rPr>
        <w:t>edicated</w:t>
      </w:r>
      <w:r>
        <w:rPr>
          <w:rFonts w:ascii="Arial" w:eastAsia="Arial" w:hAnsi="Arial" w:cs="Arial"/>
          <w:color w:val="000000"/>
          <w:szCs w:val="20"/>
        </w:rPr>
        <w:t xml:space="preserve"> LV </w:t>
      </w:r>
      <w:r w:rsidR="005F7ED0">
        <w:rPr>
          <w:rFonts w:ascii="Arial" w:eastAsia="Arial" w:hAnsi="Arial" w:cs="Arial"/>
          <w:color w:val="000000"/>
          <w:szCs w:val="20"/>
        </w:rPr>
        <w:t>feeder</w:t>
      </w:r>
      <w:r>
        <w:rPr>
          <w:rFonts w:ascii="Arial" w:eastAsia="Arial" w:hAnsi="Arial" w:cs="Arial"/>
          <w:color w:val="000000"/>
          <w:szCs w:val="20"/>
        </w:rPr>
        <w:t xml:space="preserve"> is as follows:</w:t>
      </w:r>
    </w:p>
    <w:p w14:paraId="15493F81" w14:textId="77777777" w:rsidR="00AC7A01" w:rsidRPr="00082113" w:rsidRDefault="00AC7A01" w:rsidP="00AC7A01">
      <w:pPr>
        <w:pStyle w:val="ListParagraph"/>
        <w:numPr>
          <w:ilvl w:val="0"/>
          <w:numId w:val="16"/>
        </w:numPr>
        <w:pBdr>
          <w:top w:val="nil"/>
          <w:left w:val="nil"/>
          <w:bottom w:val="nil"/>
          <w:right w:val="nil"/>
          <w:between w:val="nil"/>
        </w:pBdr>
        <w:spacing w:line="276" w:lineRule="auto"/>
        <w:jc w:val="both"/>
        <w:rPr>
          <w:rFonts w:eastAsia="Arial" w:cs="Arial"/>
          <w:color w:val="000000"/>
          <w:sz w:val="20"/>
        </w:rPr>
      </w:pPr>
      <w:bookmarkStart w:id="54" w:name="_Toc128033248"/>
      <w:r w:rsidRPr="00082113">
        <w:rPr>
          <w:rFonts w:eastAsia="Arial" w:cs="Arial"/>
          <w:color w:val="000000"/>
          <w:sz w:val="20"/>
        </w:rPr>
        <w:t>SSEG nameplate power rating shall not exceed the consumer’s NMD (or UIC – Utility Installed Capacity)</w:t>
      </w:r>
      <w:r w:rsidRPr="00082113">
        <w:rPr>
          <w:rStyle w:val="FootnoteReference"/>
          <w:rFonts w:eastAsia="Arial" w:cs="Arial"/>
          <w:color w:val="000000"/>
          <w:sz w:val="20"/>
        </w:rPr>
        <w:footnoteReference w:id="4"/>
      </w:r>
      <w:bookmarkEnd w:id="54"/>
    </w:p>
    <w:p w14:paraId="3615F3CF" w14:textId="6A4FBC85" w:rsidR="00AC7A01" w:rsidRPr="00082113" w:rsidRDefault="00AC7A01" w:rsidP="00AC7A01">
      <w:pPr>
        <w:pStyle w:val="ListParagraph"/>
        <w:numPr>
          <w:ilvl w:val="0"/>
          <w:numId w:val="16"/>
        </w:numPr>
        <w:pBdr>
          <w:top w:val="nil"/>
          <w:left w:val="nil"/>
          <w:bottom w:val="nil"/>
          <w:right w:val="nil"/>
          <w:between w:val="nil"/>
        </w:pBdr>
        <w:spacing w:line="276" w:lineRule="auto"/>
        <w:jc w:val="both"/>
        <w:rPr>
          <w:rFonts w:eastAsia="Arial" w:cs="Arial"/>
          <w:color w:val="000000"/>
          <w:sz w:val="20"/>
        </w:rPr>
      </w:pPr>
      <w:bookmarkStart w:id="55" w:name="_Toc128033249"/>
      <w:r w:rsidRPr="00082113">
        <w:rPr>
          <w:rFonts w:eastAsia="Arial" w:cs="Arial"/>
          <w:color w:val="000000"/>
          <w:sz w:val="20"/>
        </w:rPr>
        <w:t xml:space="preserve">SSEG maximum export </w:t>
      </w:r>
      <w:r w:rsidR="00F46C1C">
        <w:rPr>
          <w:rFonts w:eastAsia="Arial" w:cs="Arial"/>
          <w:color w:val="000000"/>
          <w:sz w:val="20"/>
        </w:rPr>
        <w:t>capacity</w:t>
      </w:r>
      <w:r w:rsidRPr="00082113">
        <w:rPr>
          <w:rFonts w:eastAsia="Arial" w:cs="Arial"/>
          <w:color w:val="000000"/>
          <w:sz w:val="20"/>
        </w:rPr>
        <w:t xml:space="preserve"> shall </w:t>
      </w:r>
      <w:r w:rsidR="007C5438">
        <w:rPr>
          <w:rFonts w:eastAsia="Arial" w:cs="Arial"/>
          <w:color w:val="000000"/>
          <w:sz w:val="20"/>
        </w:rPr>
        <w:t>not exceed</w:t>
      </w:r>
      <w:r w:rsidRPr="00082113">
        <w:rPr>
          <w:rFonts w:eastAsia="Arial" w:cs="Arial"/>
          <w:color w:val="000000"/>
          <w:sz w:val="20"/>
        </w:rPr>
        <w:t xml:space="preserve"> </w:t>
      </w:r>
      <w:r w:rsidR="00482F94">
        <w:rPr>
          <w:rFonts w:eastAsia="Arial" w:cs="Arial"/>
          <w:color w:val="000000"/>
          <w:sz w:val="20"/>
        </w:rPr>
        <w:t>7</w:t>
      </w:r>
      <w:r w:rsidRPr="00082113">
        <w:rPr>
          <w:rFonts w:eastAsia="Arial" w:cs="Arial"/>
          <w:color w:val="000000"/>
          <w:sz w:val="20"/>
        </w:rPr>
        <w:t>5% of the customers NMD</w:t>
      </w:r>
      <w:bookmarkEnd w:id="55"/>
    </w:p>
    <w:p w14:paraId="03370BAB" w14:textId="15C9E3D8" w:rsidR="00AC7A01" w:rsidRPr="00082113" w:rsidRDefault="00AC7A01" w:rsidP="00AC7A01">
      <w:pPr>
        <w:pStyle w:val="ListParagraph"/>
        <w:numPr>
          <w:ilvl w:val="0"/>
          <w:numId w:val="16"/>
        </w:numPr>
        <w:pBdr>
          <w:top w:val="nil"/>
          <w:left w:val="nil"/>
          <w:bottom w:val="nil"/>
          <w:right w:val="nil"/>
          <w:between w:val="nil"/>
        </w:pBdr>
        <w:spacing w:line="276" w:lineRule="auto"/>
        <w:jc w:val="both"/>
        <w:rPr>
          <w:rFonts w:eastAsia="Arial" w:cs="Arial"/>
          <w:color w:val="000000"/>
          <w:sz w:val="20"/>
        </w:rPr>
      </w:pPr>
      <w:bookmarkStart w:id="56" w:name="_Toc128033250"/>
      <w:r w:rsidRPr="00082113">
        <w:rPr>
          <w:rFonts w:eastAsia="Arial" w:cs="Arial"/>
          <w:color w:val="000000"/>
          <w:sz w:val="20"/>
        </w:rPr>
        <w:t>Maximum battery</w:t>
      </w:r>
      <w:r w:rsidR="00356AD1">
        <w:rPr>
          <w:rFonts w:eastAsia="Arial" w:cs="Arial"/>
          <w:color w:val="000000"/>
          <w:sz w:val="20"/>
        </w:rPr>
        <w:t>/storage</w:t>
      </w:r>
      <w:r w:rsidRPr="00082113">
        <w:rPr>
          <w:rFonts w:eastAsia="Arial" w:cs="Arial"/>
          <w:color w:val="000000"/>
          <w:sz w:val="20"/>
        </w:rPr>
        <w:t xml:space="preserve"> charging current shall </w:t>
      </w:r>
      <w:r w:rsidR="007C5438">
        <w:rPr>
          <w:rFonts w:eastAsia="Arial" w:cs="Arial"/>
          <w:color w:val="000000"/>
          <w:sz w:val="20"/>
        </w:rPr>
        <w:t>not exceed</w:t>
      </w:r>
      <w:r w:rsidRPr="00082113">
        <w:rPr>
          <w:rFonts w:eastAsia="Arial" w:cs="Arial"/>
          <w:color w:val="000000"/>
          <w:sz w:val="20"/>
        </w:rPr>
        <w:t xml:space="preserve"> 25% of the NMD</w:t>
      </w:r>
      <w:r w:rsidR="00275F4F">
        <w:rPr>
          <w:rStyle w:val="FootnoteReference"/>
          <w:rFonts w:eastAsia="Arial" w:cs="Arial"/>
          <w:color w:val="000000"/>
          <w:sz w:val="20"/>
        </w:rPr>
        <w:footnoteReference w:id="5"/>
      </w:r>
      <w:bookmarkEnd w:id="56"/>
    </w:p>
    <w:p w14:paraId="71C74CD3" w14:textId="352AE73F" w:rsidR="00AC7A01" w:rsidRDefault="00AC7A01" w:rsidP="00AC7A01">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following SSEG size limitations are derived from NRS 097-2-3 for </w:t>
      </w:r>
      <w:r w:rsidR="00E15763">
        <w:rPr>
          <w:rFonts w:ascii="Arial" w:eastAsia="Arial" w:hAnsi="Arial" w:cs="Arial"/>
          <w:color w:val="000000"/>
          <w:szCs w:val="20"/>
        </w:rPr>
        <w:t>Dedicated</w:t>
      </w:r>
      <w:r>
        <w:rPr>
          <w:rFonts w:ascii="Arial" w:eastAsia="Arial" w:hAnsi="Arial" w:cs="Arial"/>
          <w:color w:val="000000"/>
          <w:szCs w:val="20"/>
        </w:rPr>
        <w:t xml:space="preserve"> LV connections. </w:t>
      </w:r>
    </w:p>
    <w:p w14:paraId="0EED261E" w14:textId="4F40CF47" w:rsidR="00AC7A01" w:rsidRDefault="00AC7A01" w:rsidP="00AC7A01">
      <w:pPr>
        <w:pStyle w:val="BodyText"/>
        <w:rPr>
          <w:lang w:val="en-GB"/>
        </w:rPr>
      </w:pPr>
    </w:p>
    <w:p w14:paraId="045CAC24" w14:textId="613739A8" w:rsidR="00FE3AD2" w:rsidRPr="009E5D30" w:rsidRDefault="00FE3AD2" w:rsidP="009E5D30">
      <w:pPr>
        <w:pBdr>
          <w:top w:val="nil"/>
          <w:left w:val="nil"/>
          <w:bottom w:val="nil"/>
          <w:right w:val="nil"/>
          <w:between w:val="nil"/>
        </w:pBdr>
        <w:spacing w:before="120" w:after="120"/>
        <w:ind w:left="357" w:hanging="357"/>
        <w:rPr>
          <w:rFonts w:ascii="Arial" w:eastAsia="Arial" w:hAnsi="Arial" w:cs="Arial"/>
          <w:i/>
          <w:color w:val="75B5E4"/>
        </w:rPr>
      </w:pPr>
      <w:r>
        <w:rPr>
          <w:rFonts w:ascii="Arial" w:eastAsia="Arial" w:hAnsi="Arial" w:cs="Arial"/>
          <w:i/>
          <w:color w:val="75B5E4"/>
          <w:szCs w:val="20"/>
        </w:rPr>
        <w:t>Table 4: SSEG size limitations - NRS 097-2-3 for Dedicated LV connections</w:t>
      </w:r>
    </w:p>
    <w:tbl>
      <w:tblPr>
        <w:tblW w:w="7620" w:type="dxa"/>
        <w:tblLook w:val="04A0" w:firstRow="1" w:lastRow="0" w:firstColumn="1" w:lastColumn="0" w:noHBand="0" w:noVBand="1"/>
      </w:tblPr>
      <w:tblGrid>
        <w:gridCol w:w="1124"/>
        <w:gridCol w:w="1140"/>
        <w:gridCol w:w="1320"/>
        <w:gridCol w:w="1265"/>
        <w:gridCol w:w="1256"/>
        <w:gridCol w:w="1515"/>
      </w:tblGrid>
      <w:tr w:rsidR="00CA10FA" w:rsidRPr="00CA10FA" w14:paraId="536A208E" w14:textId="77777777" w:rsidTr="009E5D30">
        <w:trPr>
          <w:trHeight w:val="417"/>
          <w:tblHeader/>
        </w:trPr>
        <w:tc>
          <w:tcPr>
            <w:tcW w:w="3584"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C4D2C0F" w14:textId="438CE106" w:rsidR="00CA10FA" w:rsidRPr="009E5D30" w:rsidRDefault="00CA10FA" w:rsidP="00FE3AD2">
            <w:pPr>
              <w:spacing w:line="240" w:lineRule="auto"/>
              <w:jc w:val="center"/>
              <w:rPr>
                <w:rFonts w:ascii="Calibri" w:hAnsi="Calibri" w:cs="Calibri"/>
                <w:b/>
                <w:bCs/>
                <w:color w:val="FFFFFF" w:themeColor="background1"/>
                <w:szCs w:val="20"/>
                <w:lang w:val="en-ZA" w:eastAsia="en-ZA"/>
              </w:rPr>
            </w:pPr>
            <w:r w:rsidRPr="009E5D30">
              <w:rPr>
                <w:rFonts w:ascii="Calibri" w:hAnsi="Calibri" w:cs="Calibri"/>
                <w:b/>
                <w:bCs/>
                <w:color w:val="FFFFFF" w:themeColor="background1"/>
                <w:szCs w:val="20"/>
                <w:lang w:val="en-ZA" w:eastAsia="en-ZA"/>
              </w:rPr>
              <w:t>Service connection</w:t>
            </w:r>
          </w:p>
        </w:tc>
        <w:tc>
          <w:tcPr>
            <w:tcW w:w="4036" w:type="dxa"/>
            <w:gridSpan w:val="3"/>
            <w:tcBorders>
              <w:top w:val="single" w:sz="4" w:space="0" w:color="auto"/>
              <w:left w:val="nil"/>
              <w:bottom w:val="single" w:sz="4" w:space="0" w:color="auto"/>
              <w:right w:val="single" w:sz="4" w:space="0" w:color="auto"/>
            </w:tcBorders>
            <w:shd w:val="clear" w:color="auto" w:fill="1C6194" w:themeFill="accent6" w:themeFillShade="BF"/>
            <w:vAlign w:val="bottom"/>
          </w:tcPr>
          <w:p w14:paraId="4D01A6D5" w14:textId="52004095" w:rsidR="00CA10FA" w:rsidRPr="009E5D30" w:rsidRDefault="00CA10FA" w:rsidP="00FE3AD2">
            <w:pPr>
              <w:spacing w:line="240" w:lineRule="auto"/>
              <w:jc w:val="center"/>
              <w:rPr>
                <w:rFonts w:ascii="Calibri" w:hAnsi="Calibri" w:cs="Calibri"/>
                <w:b/>
                <w:bCs/>
                <w:color w:val="FFFFFF" w:themeColor="background1"/>
                <w:szCs w:val="20"/>
                <w:lang w:val="en-ZA" w:eastAsia="en-ZA"/>
              </w:rPr>
            </w:pPr>
            <w:r w:rsidRPr="009E5D30">
              <w:rPr>
                <w:rFonts w:ascii="Calibri" w:hAnsi="Calibri" w:cs="Calibri"/>
                <w:b/>
                <w:bCs/>
                <w:color w:val="FFFFFF" w:themeColor="background1"/>
                <w:szCs w:val="20"/>
                <w:lang w:val="en-ZA" w:eastAsia="en-ZA"/>
              </w:rPr>
              <w:t>SSEG parameters</w:t>
            </w:r>
          </w:p>
        </w:tc>
      </w:tr>
      <w:tr w:rsidR="00CA10FA" w:rsidRPr="00CA10FA" w14:paraId="71FAF465" w14:textId="77777777" w:rsidTr="009E5D30">
        <w:trPr>
          <w:trHeight w:val="1152"/>
          <w:tblHeader/>
        </w:trPr>
        <w:tc>
          <w:tcPr>
            <w:tcW w:w="1124" w:type="dxa"/>
            <w:tcBorders>
              <w:top w:val="single" w:sz="4" w:space="0" w:color="auto"/>
              <w:left w:val="single" w:sz="4" w:space="0" w:color="auto"/>
              <w:bottom w:val="single" w:sz="4" w:space="0" w:color="auto"/>
              <w:right w:val="single" w:sz="4" w:space="0" w:color="auto"/>
            </w:tcBorders>
            <w:shd w:val="clear" w:color="auto" w:fill="2683C6" w:themeFill="accent6"/>
            <w:vAlign w:val="bottom"/>
            <w:hideMark/>
          </w:tcPr>
          <w:p w14:paraId="44E19119" w14:textId="77777777" w:rsidR="00FE3AD2" w:rsidRPr="009E5D30" w:rsidRDefault="00FE3AD2" w:rsidP="00FE3AD2">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No phases</w:t>
            </w:r>
          </w:p>
        </w:tc>
        <w:tc>
          <w:tcPr>
            <w:tcW w:w="1140" w:type="dxa"/>
            <w:tcBorders>
              <w:top w:val="single" w:sz="4" w:space="0" w:color="auto"/>
              <w:left w:val="nil"/>
              <w:bottom w:val="single" w:sz="4" w:space="0" w:color="auto"/>
              <w:right w:val="single" w:sz="4" w:space="0" w:color="auto"/>
            </w:tcBorders>
            <w:shd w:val="clear" w:color="auto" w:fill="2683C6" w:themeFill="accent6"/>
            <w:vAlign w:val="bottom"/>
            <w:hideMark/>
          </w:tcPr>
          <w:p w14:paraId="1C8852D0" w14:textId="77777777" w:rsidR="00FE3AD2" w:rsidRPr="009E5D30" w:rsidRDefault="00FE3AD2" w:rsidP="00FE3AD2">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Service circuit breaker (A)</w:t>
            </w:r>
          </w:p>
        </w:tc>
        <w:tc>
          <w:tcPr>
            <w:tcW w:w="1320" w:type="dxa"/>
            <w:tcBorders>
              <w:top w:val="single" w:sz="4" w:space="0" w:color="auto"/>
              <w:left w:val="nil"/>
              <w:bottom w:val="single" w:sz="4" w:space="0" w:color="auto"/>
              <w:right w:val="single" w:sz="4" w:space="0" w:color="auto"/>
            </w:tcBorders>
            <w:shd w:val="clear" w:color="auto" w:fill="2683C6" w:themeFill="accent6"/>
            <w:vAlign w:val="bottom"/>
            <w:hideMark/>
          </w:tcPr>
          <w:p w14:paraId="34DDAA2A" w14:textId="77777777" w:rsidR="00FE3AD2" w:rsidRPr="009E5D30" w:rsidRDefault="00FE3AD2" w:rsidP="00FE3AD2">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Maximum demand (NMD) (kVA)</w:t>
            </w:r>
          </w:p>
        </w:tc>
        <w:tc>
          <w:tcPr>
            <w:tcW w:w="1265" w:type="dxa"/>
            <w:tcBorders>
              <w:top w:val="single" w:sz="4" w:space="0" w:color="auto"/>
              <w:left w:val="nil"/>
              <w:bottom w:val="single" w:sz="4" w:space="0" w:color="auto"/>
              <w:right w:val="single" w:sz="4" w:space="0" w:color="auto"/>
            </w:tcBorders>
            <w:shd w:val="clear" w:color="auto" w:fill="2683C6" w:themeFill="accent6"/>
            <w:vAlign w:val="bottom"/>
            <w:hideMark/>
          </w:tcPr>
          <w:p w14:paraId="36D5D45E" w14:textId="77E6402C" w:rsidR="00FE3AD2" w:rsidRPr="009E5D30" w:rsidRDefault="00FE3AD2" w:rsidP="00FE3AD2">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Max export capacity (kVA) (</w:t>
            </w:r>
            <w:r w:rsidR="007C5438">
              <w:rPr>
                <w:rFonts w:ascii="Calibri" w:hAnsi="Calibri" w:cs="Calibri"/>
                <w:color w:val="FFFFFF" w:themeColor="background1"/>
                <w:szCs w:val="20"/>
                <w:lang w:val="en-ZA" w:eastAsia="en-ZA"/>
              </w:rPr>
              <w:t>7</w:t>
            </w:r>
            <w:r w:rsidRPr="009E5D30">
              <w:rPr>
                <w:rFonts w:ascii="Calibri" w:hAnsi="Calibri" w:cs="Calibri"/>
                <w:color w:val="FFFFFF" w:themeColor="background1"/>
                <w:szCs w:val="20"/>
                <w:lang w:val="en-ZA" w:eastAsia="en-ZA"/>
              </w:rPr>
              <w:t>5%)</w:t>
            </w:r>
          </w:p>
        </w:tc>
        <w:tc>
          <w:tcPr>
            <w:tcW w:w="1256" w:type="dxa"/>
            <w:tcBorders>
              <w:top w:val="single" w:sz="4" w:space="0" w:color="auto"/>
              <w:left w:val="nil"/>
              <w:bottom w:val="single" w:sz="4" w:space="0" w:color="auto"/>
              <w:right w:val="single" w:sz="4" w:space="0" w:color="auto"/>
            </w:tcBorders>
            <w:shd w:val="clear" w:color="auto" w:fill="2683C6" w:themeFill="accent6"/>
            <w:vAlign w:val="bottom"/>
            <w:hideMark/>
          </w:tcPr>
          <w:p w14:paraId="4440DC16" w14:textId="77777777" w:rsidR="00FE3AD2" w:rsidRPr="009E5D30" w:rsidRDefault="00FE3AD2" w:rsidP="00FE3AD2">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Max nameplate power rating (kVA) (100%)</w:t>
            </w:r>
          </w:p>
        </w:tc>
        <w:tc>
          <w:tcPr>
            <w:tcW w:w="1515" w:type="dxa"/>
            <w:tcBorders>
              <w:top w:val="single" w:sz="4" w:space="0" w:color="auto"/>
              <w:left w:val="nil"/>
              <w:bottom w:val="single" w:sz="4" w:space="0" w:color="auto"/>
              <w:right w:val="single" w:sz="4" w:space="0" w:color="auto"/>
            </w:tcBorders>
            <w:shd w:val="clear" w:color="auto" w:fill="2683C6" w:themeFill="accent6"/>
            <w:vAlign w:val="bottom"/>
            <w:hideMark/>
          </w:tcPr>
          <w:p w14:paraId="07480BD7" w14:textId="77777777" w:rsidR="00FE3AD2" w:rsidRPr="009E5D30" w:rsidRDefault="00FE3AD2" w:rsidP="00FE3AD2">
            <w:pPr>
              <w:spacing w:line="240" w:lineRule="auto"/>
              <w:jc w:val="center"/>
              <w:rPr>
                <w:rFonts w:ascii="Calibri" w:hAnsi="Calibri" w:cs="Calibri"/>
                <w:color w:val="FFFFFF" w:themeColor="background1"/>
                <w:szCs w:val="20"/>
                <w:lang w:val="en-ZA" w:eastAsia="en-ZA"/>
              </w:rPr>
            </w:pPr>
            <w:r w:rsidRPr="009E5D30">
              <w:rPr>
                <w:rFonts w:ascii="Calibri" w:hAnsi="Calibri" w:cs="Calibri"/>
                <w:color w:val="FFFFFF" w:themeColor="background1"/>
                <w:szCs w:val="20"/>
                <w:lang w:val="en-ZA" w:eastAsia="en-ZA"/>
              </w:rPr>
              <w:t>Max battery charging current (per phase) (A) (25%)</w:t>
            </w:r>
          </w:p>
        </w:tc>
      </w:tr>
      <w:tr w:rsidR="00CA10FA" w:rsidRPr="00FE3AD2" w14:paraId="7AD52688"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437EB6DC"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6F39EC9D"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125</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1C3722F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86</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0A446493"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65</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7CD319E4"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86</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49952C66"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31</w:t>
            </w:r>
          </w:p>
        </w:tc>
      </w:tr>
      <w:tr w:rsidR="00CA10FA" w:rsidRPr="00FE3AD2" w14:paraId="39B34759"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5E343BAC"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14E21086"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3FA0B2C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104</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12F67A4C"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78</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14BE6378"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104</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66FAAC5D"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38</w:t>
            </w:r>
          </w:p>
        </w:tc>
      </w:tr>
      <w:tr w:rsidR="00CA10FA" w:rsidRPr="00FE3AD2" w14:paraId="19DBDCB5"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2DC4F9D3"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lastRenderedPageBreak/>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78B0DAFB"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175</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33CDCC64"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121</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7926DFE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91</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6367CCD9"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121</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202A8277"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44</w:t>
            </w:r>
          </w:p>
        </w:tc>
      </w:tr>
      <w:tr w:rsidR="00CA10FA" w:rsidRPr="00FE3AD2" w14:paraId="3C59395A"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22AEDE8D"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299C960D"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7735277E"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138</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4D39048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104</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1F6ED34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138</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79AB514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50</w:t>
            </w:r>
          </w:p>
        </w:tc>
      </w:tr>
      <w:tr w:rsidR="00CA10FA" w:rsidRPr="00FE3AD2" w14:paraId="0FECFACA"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45FA0C95"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24C196A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225</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31BC8AE9"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155</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2929E01E"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116</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46879FB6"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155</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5C06E787"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56</w:t>
            </w:r>
          </w:p>
        </w:tc>
      </w:tr>
      <w:tr w:rsidR="00CA10FA" w:rsidRPr="00FE3AD2" w14:paraId="6C746410"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115DDB9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58BD2EC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6CB77D39"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173</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564BEF1D"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129</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3A210BAB"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173</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20C97AB0"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63</w:t>
            </w:r>
          </w:p>
        </w:tc>
      </w:tr>
      <w:tr w:rsidR="00CA10FA" w:rsidRPr="00FE3AD2" w14:paraId="12AE0C7D"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482FA78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6739FD1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275</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36AE6306"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190</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5B199B98"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142</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0072FBD3"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190</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56338CD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69</w:t>
            </w:r>
          </w:p>
        </w:tc>
      </w:tr>
      <w:tr w:rsidR="00CA10FA" w:rsidRPr="00FE3AD2" w14:paraId="53251C29"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3A21DF3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407C3517"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300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780D8879"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207</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3A3970FC"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155</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48B04418"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207</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2D3130AD"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75</w:t>
            </w:r>
          </w:p>
        </w:tc>
      </w:tr>
      <w:tr w:rsidR="00CA10FA" w:rsidRPr="00FE3AD2" w14:paraId="6430DB10"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51B63D64"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575DFFC4"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325</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4C29E54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224</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7E4CF3C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168</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6930510F"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224</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7DA2A8C0"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81</w:t>
            </w:r>
          </w:p>
        </w:tc>
      </w:tr>
      <w:tr w:rsidR="00CA10FA" w:rsidRPr="00FE3AD2" w14:paraId="7560146C"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4150E4D5"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5767880F"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350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39DB88A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242</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361578E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181</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70CB3B42"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242</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3FAD45EB"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88</w:t>
            </w:r>
          </w:p>
        </w:tc>
      </w:tr>
      <w:tr w:rsidR="00CA10FA" w:rsidRPr="00FE3AD2" w14:paraId="786E100B"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01FC5B17"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493F2B8A"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375</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17763118"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259</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2C4615AD"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194</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17BA4AEB"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259</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60D8CE45"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94</w:t>
            </w:r>
          </w:p>
        </w:tc>
      </w:tr>
      <w:tr w:rsidR="00CA10FA" w:rsidRPr="00FE3AD2" w14:paraId="1090BF0F"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316A742D"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5BF7B7B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400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494ED6DE"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276</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7095ED1E"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207</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42B69C5F"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276</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7299C7BE"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100</w:t>
            </w:r>
          </w:p>
        </w:tc>
      </w:tr>
      <w:tr w:rsidR="00CA10FA" w:rsidRPr="00FE3AD2" w14:paraId="044E10C8"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1BFE5FD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08AEA5B4"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500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2F179686"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345</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36F66BFF"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259</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2699DCE5"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345</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77BC0D10"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125</w:t>
            </w:r>
          </w:p>
        </w:tc>
      </w:tr>
      <w:tr w:rsidR="00CA10FA" w:rsidRPr="00FE3AD2" w14:paraId="3B603D5F"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41E686C6"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43CD23A9"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630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2FDDDA0B"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435</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6D02B50E"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326</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1BE8CADB"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435</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4CBAF545"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158</w:t>
            </w:r>
          </w:p>
        </w:tc>
      </w:tr>
      <w:tr w:rsidR="00CA10FA" w:rsidRPr="00FE3AD2" w14:paraId="6DDAE568"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761F2F2A"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25614D4E"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800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20DF644F"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552</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3517DC4E"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414</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6F6B5940"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552</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044BDFF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200</w:t>
            </w:r>
          </w:p>
        </w:tc>
      </w:tr>
      <w:tr w:rsidR="00CA10FA" w:rsidRPr="00FE3AD2" w14:paraId="166EE5FB"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019FC437"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69372827"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1000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040C4686"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690</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65FA4643"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518</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4D667266"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690</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6E3F88C5"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250</w:t>
            </w:r>
          </w:p>
        </w:tc>
      </w:tr>
      <w:tr w:rsidR="00CA10FA" w:rsidRPr="00FE3AD2" w14:paraId="58A2D996"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37797DC4"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4ADA88CA"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1250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3CBE9D40"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863</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77A3815B"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647</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56A6697B"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863</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49298367"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313</w:t>
            </w:r>
          </w:p>
        </w:tc>
      </w:tr>
      <w:tr w:rsidR="00CA10FA" w:rsidRPr="00FE3AD2" w14:paraId="005A22DF" w14:textId="77777777" w:rsidTr="009E5D30">
        <w:trPr>
          <w:trHeight w:val="288"/>
        </w:trPr>
        <w:tc>
          <w:tcPr>
            <w:tcW w:w="1124" w:type="dxa"/>
            <w:tcBorders>
              <w:top w:val="nil"/>
              <w:left w:val="single" w:sz="4" w:space="0" w:color="auto"/>
              <w:bottom w:val="single" w:sz="4" w:space="0" w:color="auto"/>
              <w:right w:val="single" w:sz="4" w:space="0" w:color="auto"/>
            </w:tcBorders>
            <w:shd w:val="clear" w:color="auto" w:fill="D4EAF3" w:themeFill="accent1" w:themeFillTint="33"/>
            <w:noWrap/>
            <w:vAlign w:val="bottom"/>
            <w:hideMark/>
          </w:tcPr>
          <w:p w14:paraId="7A824128"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w:t>
            </w:r>
          </w:p>
        </w:tc>
        <w:tc>
          <w:tcPr>
            <w:tcW w:w="1140" w:type="dxa"/>
            <w:tcBorders>
              <w:top w:val="nil"/>
              <w:left w:val="nil"/>
              <w:bottom w:val="single" w:sz="4" w:space="0" w:color="auto"/>
              <w:right w:val="single" w:sz="4" w:space="0" w:color="auto"/>
            </w:tcBorders>
            <w:shd w:val="clear" w:color="auto" w:fill="D4EAF3" w:themeFill="accent1" w:themeFillTint="33"/>
            <w:noWrap/>
            <w:vAlign w:val="bottom"/>
            <w:hideMark/>
          </w:tcPr>
          <w:p w14:paraId="720A8A6C"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1500</w:t>
            </w:r>
          </w:p>
        </w:tc>
        <w:tc>
          <w:tcPr>
            <w:tcW w:w="1320" w:type="dxa"/>
            <w:tcBorders>
              <w:top w:val="nil"/>
              <w:left w:val="nil"/>
              <w:bottom w:val="single" w:sz="4" w:space="0" w:color="auto"/>
              <w:right w:val="single" w:sz="4" w:space="0" w:color="auto"/>
            </w:tcBorders>
            <w:shd w:val="clear" w:color="auto" w:fill="D4EAF3" w:themeFill="accent1" w:themeFillTint="33"/>
            <w:vAlign w:val="bottom"/>
            <w:hideMark/>
          </w:tcPr>
          <w:p w14:paraId="196D4AD8"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1035</w:t>
            </w:r>
          </w:p>
        </w:tc>
        <w:tc>
          <w:tcPr>
            <w:tcW w:w="1265" w:type="dxa"/>
            <w:tcBorders>
              <w:top w:val="nil"/>
              <w:left w:val="nil"/>
              <w:bottom w:val="single" w:sz="4" w:space="0" w:color="auto"/>
              <w:right w:val="single" w:sz="4" w:space="0" w:color="auto"/>
            </w:tcBorders>
            <w:shd w:val="clear" w:color="auto" w:fill="D4EAF3" w:themeFill="accent1" w:themeFillTint="33"/>
            <w:vAlign w:val="bottom"/>
            <w:hideMark/>
          </w:tcPr>
          <w:p w14:paraId="10DD12D1"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776</w:t>
            </w:r>
          </w:p>
        </w:tc>
        <w:tc>
          <w:tcPr>
            <w:tcW w:w="1256" w:type="dxa"/>
            <w:tcBorders>
              <w:top w:val="nil"/>
              <w:left w:val="nil"/>
              <w:bottom w:val="single" w:sz="4" w:space="0" w:color="auto"/>
              <w:right w:val="single" w:sz="4" w:space="0" w:color="auto"/>
            </w:tcBorders>
            <w:shd w:val="clear" w:color="auto" w:fill="D4EAF3" w:themeFill="accent1" w:themeFillTint="33"/>
            <w:vAlign w:val="bottom"/>
            <w:hideMark/>
          </w:tcPr>
          <w:p w14:paraId="0C27A74F"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999</w:t>
            </w:r>
          </w:p>
        </w:tc>
        <w:tc>
          <w:tcPr>
            <w:tcW w:w="1515" w:type="dxa"/>
            <w:tcBorders>
              <w:top w:val="nil"/>
              <w:left w:val="nil"/>
              <w:bottom w:val="single" w:sz="4" w:space="0" w:color="auto"/>
              <w:right w:val="single" w:sz="4" w:space="0" w:color="auto"/>
            </w:tcBorders>
            <w:shd w:val="clear" w:color="auto" w:fill="D4EAF3" w:themeFill="accent1" w:themeFillTint="33"/>
            <w:vAlign w:val="bottom"/>
            <w:hideMark/>
          </w:tcPr>
          <w:p w14:paraId="684A2AD5" w14:textId="77777777" w:rsidR="00FE3AD2" w:rsidRPr="009E5D30" w:rsidRDefault="00FE3AD2" w:rsidP="00FE3AD2">
            <w:pPr>
              <w:spacing w:line="240" w:lineRule="auto"/>
              <w:jc w:val="center"/>
              <w:rPr>
                <w:rFonts w:ascii="Calibri" w:hAnsi="Calibri" w:cs="Calibri"/>
                <w:color w:val="000000"/>
                <w:szCs w:val="20"/>
                <w:lang w:val="en-ZA" w:eastAsia="en-ZA"/>
              </w:rPr>
            </w:pPr>
            <w:r w:rsidRPr="009E5D30">
              <w:rPr>
                <w:rFonts w:ascii="Calibri" w:hAnsi="Calibri" w:cs="Calibri"/>
                <w:color w:val="000000"/>
                <w:szCs w:val="20"/>
                <w:lang w:val="en-ZA" w:eastAsia="en-ZA"/>
              </w:rPr>
              <w:t>375</w:t>
            </w:r>
          </w:p>
        </w:tc>
      </w:tr>
    </w:tbl>
    <w:p w14:paraId="1F087B90" w14:textId="47258B0B" w:rsidR="00356AD1" w:rsidRPr="009E5D30" w:rsidRDefault="00356AD1" w:rsidP="00AC7A01">
      <w:pPr>
        <w:pStyle w:val="BodyText"/>
        <w:rPr>
          <w:sz w:val="14"/>
          <w:szCs w:val="14"/>
          <w:lang w:val="en-GB"/>
        </w:rPr>
      </w:pPr>
    </w:p>
    <w:p w14:paraId="56D70770" w14:textId="77777777" w:rsidR="004E1208" w:rsidRPr="009E5D30" w:rsidRDefault="004E1208" w:rsidP="004E1208">
      <w:pPr>
        <w:keepNext/>
        <w:keepLines/>
        <w:jc w:val="both"/>
        <w:rPr>
          <w:rFonts w:ascii="Arial" w:eastAsia="Arial" w:hAnsi="Arial" w:cs="Arial"/>
          <w:i/>
          <w:color w:val="000000"/>
          <w:sz w:val="16"/>
          <w:szCs w:val="16"/>
        </w:rPr>
      </w:pPr>
      <w:r w:rsidRPr="009E5D30">
        <w:rPr>
          <w:rFonts w:ascii="Arial" w:eastAsia="Arial" w:hAnsi="Arial" w:cs="Arial"/>
          <w:i/>
          <w:color w:val="000000"/>
          <w:sz w:val="16"/>
          <w:szCs w:val="16"/>
        </w:rPr>
        <w:t>Notes to table:</w:t>
      </w:r>
    </w:p>
    <w:p w14:paraId="036EE007" w14:textId="0F30FD28" w:rsidR="004E1208" w:rsidRDefault="004E1208" w:rsidP="004E1208">
      <w:pPr>
        <w:keepLines/>
        <w:numPr>
          <w:ilvl w:val="0"/>
          <w:numId w:val="8"/>
        </w:numPr>
        <w:pBdr>
          <w:top w:val="nil"/>
          <w:left w:val="nil"/>
          <w:bottom w:val="nil"/>
          <w:right w:val="nil"/>
          <w:between w:val="nil"/>
        </w:pBdr>
        <w:spacing w:after="200" w:line="276" w:lineRule="auto"/>
        <w:jc w:val="both"/>
        <w:rPr>
          <w:rFonts w:ascii="Arial" w:eastAsia="Arial" w:hAnsi="Arial" w:cs="Arial"/>
          <w:i/>
          <w:color w:val="000000"/>
          <w:sz w:val="16"/>
          <w:szCs w:val="16"/>
        </w:rPr>
      </w:pPr>
      <w:r w:rsidRPr="009E5D30">
        <w:rPr>
          <w:rFonts w:ascii="Arial" w:eastAsia="Arial" w:hAnsi="Arial" w:cs="Arial"/>
          <w:i/>
          <w:color w:val="000000"/>
          <w:sz w:val="16"/>
          <w:szCs w:val="16"/>
        </w:rPr>
        <w:t>‘</w:t>
      </w:r>
      <w:r w:rsidRPr="009E5D30">
        <w:rPr>
          <w:rFonts w:ascii="Arial" w:eastAsia="Arial" w:hAnsi="Arial" w:cs="Arial"/>
          <w:b/>
          <w:i/>
          <w:color w:val="000000"/>
          <w:sz w:val="16"/>
          <w:szCs w:val="16"/>
        </w:rPr>
        <w:t>Maximum nameplate power rating’</w:t>
      </w:r>
      <w:r w:rsidRPr="009E5D30">
        <w:rPr>
          <w:rFonts w:ascii="Arial" w:eastAsia="Arial" w:hAnsi="Arial" w:cs="Arial"/>
          <w:i/>
          <w:color w:val="000000"/>
          <w:sz w:val="16"/>
          <w:szCs w:val="16"/>
        </w:rPr>
        <w:t xml:space="preserve"> refers to the total output capacity of the generator. For PV systems in particular, this </w:t>
      </w:r>
      <w:r w:rsidRPr="009E5D30">
        <w:rPr>
          <w:rFonts w:ascii="Arial" w:eastAsia="Arial" w:hAnsi="Arial" w:cs="Arial"/>
          <w:i/>
          <w:color w:val="000000"/>
          <w:sz w:val="16"/>
          <w:szCs w:val="16"/>
          <w:u w:val="single"/>
        </w:rPr>
        <w:t>refers to the maximum output of the inverter</w:t>
      </w:r>
      <w:r w:rsidRPr="009E5D30">
        <w:rPr>
          <w:rFonts w:ascii="Arial" w:eastAsia="Arial" w:hAnsi="Arial" w:cs="Arial"/>
          <w:i/>
          <w:color w:val="000000"/>
          <w:sz w:val="16"/>
          <w:szCs w:val="16"/>
        </w:rPr>
        <w:t>. Due to system losses this is typically 10 to 20% lower than the maximum output of the PV panels, which is specified in DC kilo-Watt-peak (kWp). The system designer/installer will provide guidance here.</w:t>
      </w:r>
    </w:p>
    <w:p w14:paraId="46252735" w14:textId="77777777" w:rsidR="004F1E13" w:rsidRDefault="004F1E13" w:rsidP="004F1E13">
      <w:pPr>
        <w:pStyle w:val="Heading2"/>
        <w:numPr>
          <w:ilvl w:val="1"/>
          <w:numId w:val="12"/>
        </w:numPr>
      </w:pPr>
      <w:bookmarkStart w:id="57" w:name="_Toc128033251"/>
      <w:r>
        <w:t>Phase balancing</w:t>
      </w:r>
      <w:bookmarkEnd w:id="57"/>
    </w:p>
    <w:p w14:paraId="1A5DE982" w14:textId="1EA134EF" w:rsidR="004F1E13" w:rsidRDefault="004F1E13" w:rsidP="004F1E13">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If SSEG </w:t>
      </w:r>
      <w:r w:rsidR="001A3CF2">
        <w:rPr>
          <w:rFonts w:ascii="Arial" w:eastAsia="Arial" w:hAnsi="Arial" w:cs="Arial"/>
          <w:color w:val="000000"/>
          <w:szCs w:val="20"/>
        </w:rPr>
        <w:t>maximum export</w:t>
      </w:r>
      <w:r>
        <w:rPr>
          <w:rFonts w:ascii="Arial" w:eastAsia="Arial" w:hAnsi="Arial" w:cs="Arial"/>
          <w:color w:val="000000"/>
          <w:szCs w:val="20"/>
        </w:rPr>
        <w:t xml:space="preserve"> capacity is 4.6 kVA or less, a single-phase inverter can be installed even if the customer has a three-phase connection. Systems </w:t>
      </w:r>
      <w:r w:rsidR="003A0B6A">
        <w:rPr>
          <w:rFonts w:ascii="Arial" w:eastAsia="Arial" w:hAnsi="Arial" w:cs="Arial"/>
          <w:color w:val="000000"/>
          <w:szCs w:val="20"/>
        </w:rPr>
        <w:t xml:space="preserve">with max export </w:t>
      </w:r>
      <w:r>
        <w:rPr>
          <w:rFonts w:ascii="Arial" w:eastAsia="Arial" w:hAnsi="Arial" w:cs="Arial"/>
          <w:color w:val="000000"/>
          <w:szCs w:val="20"/>
        </w:rPr>
        <w:t>above 4.6 kVA are required to be balanced across the phases</w:t>
      </w:r>
      <w:r w:rsidR="00840A84">
        <w:rPr>
          <w:rStyle w:val="FootnoteReference"/>
          <w:rFonts w:ascii="Arial" w:eastAsia="Arial" w:hAnsi="Arial" w:cs="Arial"/>
          <w:color w:val="000000"/>
          <w:szCs w:val="20"/>
        </w:rPr>
        <w:footnoteReference w:id="6"/>
      </w:r>
      <w:r>
        <w:rPr>
          <w:rFonts w:ascii="Arial" w:eastAsia="Arial" w:hAnsi="Arial" w:cs="Arial"/>
          <w:color w:val="000000"/>
          <w:szCs w:val="20"/>
        </w:rPr>
        <w:t>.</w:t>
      </w:r>
      <w:r w:rsidR="000E1B57">
        <w:rPr>
          <w:rFonts w:ascii="Arial" w:eastAsia="Arial" w:hAnsi="Arial" w:cs="Arial"/>
          <w:color w:val="000000"/>
          <w:szCs w:val="20"/>
        </w:rPr>
        <w:t xml:space="preserve"> </w:t>
      </w:r>
      <w:r w:rsidR="00F0509F">
        <w:rPr>
          <w:rFonts w:ascii="Arial" w:eastAsia="Arial" w:hAnsi="Arial" w:cs="Arial"/>
          <w:color w:val="000000"/>
          <w:szCs w:val="20"/>
        </w:rPr>
        <w:t xml:space="preserve">In general </w:t>
      </w:r>
      <w:r w:rsidR="00BE644F">
        <w:rPr>
          <w:rFonts w:ascii="Arial" w:eastAsia="Arial" w:hAnsi="Arial" w:cs="Arial"/>
          <w:color w:val="000000"/>
          <w:szCs w:val="20"/>
        </w:rPr>
        <w:t xml:space="preserve">phase </w:t>
      </w:r>
      <w:r w:rsidR="00F0509F">
        <w:rPr>
          <w:rFonts w:ascii="Arial" w:eastAsia="Arial" w:hAnsi="Arial" w:cs="Arial"/>
          <w:color w:val="000000"/>
          <w:szCs w:val="20"/>
        </w:rPr>
        <w:t xml:space="preserve">unbalance should not exceed 4.6kVA, including consideration of </w:t>
      </w:r>
      <w:r w:rsidR="00BE644F">
        <w:rPr>
          <w:rFonts w:ascii="Arial" w:eastAsia="Arial" w:hAnsi="Arial" w:cs="Arial"/>
          <w:color w:val="000000"/>
          <w:szCs w:val="20"/>
        </w:rPr>
        <w:t>load distribution between phases.</w:t>
      </w:r>
      <w:r w:rsidR="000E1B57">
        <w:rPr>
          <w:rFonts w:ascii="Arial" w:eastAsia="Arial" w:hAnsi="Arial" w:cs="Arial"/>
          <w:color w:val="000000"/>
          <w:szCs w:val="20"/>
        </w:rPr>
        <w:t xml:space="preserve"> </w:t>
      </w:r>
    </w:p>
    <w:p w14:paraId="43FC41B4" w14:textId="77777777" w:rsidR="009045EB" w:rsidRDefault="0072593A">
      <w:pPr>
        <w:pStyle w:val="Heading2"/>
        <w:numPr>
          <w:ilvl w:val="1"/>
          <w:numId w:val="12"/>
        </w:numPr>
      </w:pPr>
      <w:bookmarkStart w:id="58" w:name="_Toc128033252"/>
      <w:r>
        <w:t>Cumulative SSEG capacity and impact on LV and MV networks</w:t>
      </w:r>
      <w:bookmarkEnd w:id="58"/>
    </w:p>
    <w:p w14:paraId="43FC41B5" w14:textId="2309188A" w:rsidR="009045EB" w:rsidRDefault="0072593A">
      <w:pPr>
        <w:jc w:val="both"/>
        <w:rPr>
          <w:rFonts w:ascii="Arial" w:eastAsia="Arial" w:hAnsi="Arial" w:cs="Arial"/>
        </w:rPr>
      </w:pPr>
      <w:r>
        <w:rPr>
          <w:rFonts w:ascii="Arial" w:eastAsia="Arial" w:hAnsi="Arial" w:cs="Arial"/>
        </w:rPr>
        <w:t>Should the cumulative installed capacity of an SSEG installation be such that it may impact negatively on local LV or MV network functioning, as per the stipulations of NRS097-2-3, the municipality will not allow further SSEG connections until they can be demonstrated to be undertaken without such negative impact. Increasing the SSEG carrying capacity on feeders may require network hardware upgrades.  Specialist grid impact studies may be requested of the new SSEG applicant to demonstrate the impact, even if the individual system size falls within the NRS097-2-3 parameters.</w:t>
      </w:r>
    </w:p>
    <w:p w14:paraId="43FC41B6" w14:textId="08699C7A" w:rsidR="009045EB" w:rsidRDefault="0072593A">
      <w:pPr>
        <w:pStyle w:val="Heading2"/>
        <w:numPr>
          <w:ilvl w:val="1"/>
          <w:numId w:val="12"/>
        </w:numPr>
      </w:pPr>
      <w:bookmarkStart w:id="59" w:name="_Toc128033253"/>
      <w:r>
        <w:t>Grid impact studies</w:t>
      </w:r>
      <w:bookmarkEnd w:id="59"/>
    </w:p>
    <w:p w14:paraId="43FC41B7"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Should the SSEG being applied for cause the parameters in the NRS097-2-3 (Simplified Connection Criteria) to be exceeded, either (1) the system should be modified to fall within these parameters, or (2) </w:t>
      </w:r>
      <w:r>
        <w:rPr>
          <w:rFonts w:ascii="Arial" w:eastAsia="Arial" w:hAnsi="Arial" w:cs="Arial"/>
          <w:color w:val="000000"/>
          <w:szCs w:val="20"/>
        </w:rPr>
        <w:lastRenderedPageBreak/>
        <w:t>a Grid Impact Study is likely to be requested by the municipality before the application can be assessed. Content and coverage of such a study may vary depending on the circumstance.</w:t>
      </w:r>
    </w:p>
    <w:p w14:paraId="43FC41B8"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B9"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u w:val="single"/>
        </w:rPr>
        <w:t>Should such impact studies be required by the municipality, details of method, data and payment requirements should be discussed with the municipality. Responsibilities of the municipality (who has the network data) and the customer in completing the study will also need to be clarified</w:t>
      </w:r>
      <w:r>
        <w:rPr>
          <w:rFonts w:ascii="Arial" w:eastAsia="Arial" w:hAnsi="Arial" w:cs="Arial"/>
          <w:color w:val="000000"/>
          <w:szCs w:val="20"/>
        </w:rPr>
        <w:t xml:space="preserve">. Even in the case of SSEG with no reverse feed, scenarios such as Load Rejection may still need to be assessed in the study.  </w:t>
      </w:r>
    </w:p>
    <w:p w14:paraId="43FC41BA"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BB"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Where network hardware upgrades are found to be necessary in order to accommodate the proposed SSEG, costs may be for the customer’s account. This should be discussed with the municipality.</w:t>
      </w:r>
    </w:p>
    <w:p w14:paraId="43FC41BC"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BD"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Further information on Grid Impact Studies is given in Annex A.</w:t>
      </w:r>
    </w:p>
    <w:p w14:paraId="43FC41BE" w14:textId="77777777" w:rsidR="009045EB" w:rsidRDefault="009045EB">
      <w:pPr>
        <w:spacing w:line="276" w:lineRule="auto"/>
        <w:rPr>
          <w:rFonts w:ascii="Arial" w:eastAsia="Arial" w:hAnsi="Arial" w:cs="Arial"/>
          <w:color w:val="000000"/>
        </w:rPr>
      </w:pPr>
    </w:p>
    <w:p w14:paraId="43FC41BF" w14:textId="77777777" w:rsidR="009045EB" w:rsidRDefault="0072593A">
      <w:pPr>
        <w:pStyle w:val="Heading1"/>
        <w:numPr>
          <w:ilvl w:val="0"/>
          <w:numId w:val="12"/>
        </w:numPr>
        <w:rPr>
          <w:rFonts w:ascii="Arial" w:eastAsia="Arial" w:hAnsi="Arial" w:cs="Arial"/>
          <w:color w:val="1E2B44"/>
        </w:rPr>
      </w:pPr>
      <w:bookmarkStart w:id="60" w:name="_Toc128033254"/>
      <w:r>
        <w:rPr>
          <w:rFonts w:ascii="Arial" w:eastAsia="Arial" w:hAnsi="Arial" w:cs="Arial"/>
          <w:color w:val="1E2B44"/>
        </w:rPr>
        <w:t>SSEG Tariffs</w:t>
      </w:r>
      <w:bookmarkEnd w:id="60"/>
    </w:p>
    <w:p w14:paraId="43FC41C0" w14:textId="5954CE8C"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Municipal SSEG tariffs, once approved by NERSA, will be available on the municipal website or from the electricity department offices on request. Tariffs are updated annually</w:t>
      </w:r>
      <w:r w:rsidRPr="00360CF1">
        <w:rPr>
          <w:rFonts w:ascii="Arial" w:eastAsia="Arial" w:hAnsi="Arial" w:cs="Arial"/>
          <w:color w:val="000000"/>
          <w:szCs w:val="20"/>
        </w:rPr>
        <w:t xml:space="preserve">. Where tariffs </w:t>
      </w:r>
      <w:r w:rsidR="00AC358E" w:rsidRPr="00360CF1">
        <w:rPr>
          <w:rFonts w:ascii="Arial" w:eastAsia="Arial" w:hAnsi="Arial" w:cs="Arial"/>
          <w:color w:val="000000"/>
          <w:szCs w:val="20"/>
        </w:rPr>
        <w:t xml:space="preserve">with export credits </w:t>
      </w:r>
      <w:r w:rsidRPr="00360CF1">
        <w:rPr>
          <w:rFonts w:ascii="Arial" w:eastAsia="Arial" w:hAnsi="Arial" w:cs="Arial"/>
          <w:color w:val="000000"/>
          <w:szCs w:val="20"/>
        </w:rPr>
        <w:t xml:space="preserve">have not yet been implemented by the municipality, </w:t>
      </w:r>
      <w:r w:rsidRPr="00360CF1">
        <w:rPr>
          <w:rFonts w:ascii="Arial" w:eastAsia="Arial" w:hAnsi="Arial" w:cs="Arial"/>
          <w:color w:val="000000"/>
          <w:szCs w:val="20"/>
          <w:u w:val="single"/>
        </w:rPr>
        <w:t xml:space="preserve">reverse feed will be accepted but will not be compensated for </w:t>
      </w:r>
      <w:r w:rsidRPr="00360CF1">
        <w:rPr>
          <w:rFonts w:ascii="Arial" w:eastAsia="Arial" w:hAnsi="Arial" w:cs="Arial"/>
          <w:color w:val="000000"/>
          <w:szCs w:val="20"/>
        </w:rPr>
        <w:t>(note that this is a temporary situation pending the operationalising of SSEG tariffs).</w:t>
      </w:r>
    </w:p>
    <w:p w14:paraId="43FC41C1"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C2"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General information on SSEG tariffs is given below:</w:t>
      </w:r>
    </w:p>
    <w:p w14:paraId="43FC41C3" w14:textId="77777777" w:rsidR="009045EB" w:rsidRDefault="0072593A">
      <w:pPr>
        <w:pStyle w:val="Heading2"/>
        <w:numPr>
          <w:ilvl w:val="1"/>
          <w:numId w:val="12"/>
        </w:numPr>
      </w:pPr>
      <w:bookmarkStart w:id="61" w:name="_Toc128033255"/>
      <w:r>
        <w:t>Residential SSEG Tariff</w:t>
      </w:r>
      <w:bookmarkEnd w:id="61"/>
      <w:r>
        <w:t xml:space="preserve"> </w:t>
      </w:r>
    </w:p>
    <w:p w14:paraId="43FC41C4"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Residential SSEG tariff comprises the following parts: </w:t>
      </w:r>
    </w:p>
    <w:p w14:paraId="43FC41C5"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C6" w14:textId="77777777" w:rsidR="009045EB" w:rsidRDefault="0072593A">
      <w:pPr>
        <w:pBdr>
          <w:top w:val="nil"/>
          <w:left w:val="nil"/>
          <w:bottom w:val="nil"/>
          <w:right w:val="nil"/>
          <w:between w:val="nil"/>
        </w:pBdr>
        <w:spacing w:line="276" w:lineRule="auto"/>
        <w:ind w:left="720" w:hanging="720"/>
        <w:jc w:val="both"/>
        <w:rPr>
          <w:rFonts w:ascii="Arial" w:eastAsia="Arial" w:hAnsi="Arial" w:cs="Arial"/>
          <w:color w:val="000000"/>
          <w:szCs w:val="20"/>
        </w:rPr>
      </w:pPr>
      <w:bookmarkStart w:id="62" w:name="_heading=h.206ipza" w:colFirst="0" w:colLast="0"/>
      <w:bookmarkEnd w:id="62"/>
      <w:r>
        <w:rPr>
          <w:rFonts w:ascii="Arial" w:eastAsia="Arial" w:hAnsi="Arial" w:cs="Arial"/>
          <w:b/>
          <w:color w:val="000000"/>
          <w:szCs w:val="20"/>
        </w:rPr>
        <w:t>Fixed charge</w:t>
      </w:r>
      <w:r>
        <w:rPr>
          <w:rFonts w:ascii="Arial" w:eastAsia="Arial" w:hAnsi="Arial" w:cs="Arial"/>
          <w:color w:val="000000"/>
          <w:szCs w:val="20"/>
        </w:rPr>
        <w:t xml:space="preserve">: This comprises (1) a Network charge, which ensures that fixed costs associated with maintaining and operating the municipal electrical network are recovered through appropriate charges, and (2) a Service charge that covers the fixed costs associated with providing a retail service network (metering, billing, customer call centre) are recovered through appropriate service charges. </w:t>
      </w:r>
    </w:p>
    <w:p w14:paraId="43FC41C7" w14:textId="77777777" w:rsidR="009045EB" w:rsidRDefault="009045EB">
      <w:pPr>
        <w:pBdr>
          <w:top w:val="nil"/>
          <w:left w:val="nil"/>
          <w:bottom w:val="nil"/>
          <w:right w:val="nil"/>
          <w:between w:val="nil"/>
        </w:pBdr>
        <w:spacing w:line="276" w:lineRule="auto"/>
        <w:ind w:left="720" w:hanging="720"/>
        <w:jc w:val="both"/>
        <w:rPr>
          <w:rFonts w:ascii="Arial" w:eastAsia="Arial" w:hAnsi="Arial" w:cs="Arial"/>
          <w:color w:val="000000"/>
          <w:szCs w:val="20"/>
        </w:rPr>
      </w:pPr>
    </w:p>
    <w:p w14:paraId="43FC41C8" w14:textId="77777777" w:rsidR="009045EB" w:rsidRDefault="0072593A">
      <w:pPr>
        <w:pBdr>
          <w:top w:val="nil"/>
          <w:left w:val="nil"/>
          <w:bottom w:val="nil"/>
          <w:right w:val="nil"/>
          <w:between w:val="nil"/>
        </w:pBdr>
        <w:spacing w:line="276" w:lineRule="auto"/>
        <w:ind w:left="720" w:hanging="720"/>
        <w:jc w:val="both"/>
        <w:rPr>
          <w:rFonts w:ascii="Arial" w:eastAsia="Arial" w:hAnsi="Arial" w:cs="Arial"/>
          <w:color w:val="000000"/>
          <w:szCs w:val="20"/>
        </w:rPr>
      </w:pPr>
      <w:bookmarkStart w:id="63" w:name="_heading=h.4k668n3" w:colFirst="0" w:colLast="0"/>
      <w:bookmarkEnd w:id="63"/>
      <w:r>
        <w:rPr>
          <w:rFonts w:ascii="Arial" w:eastAsia="Arial" w:hAnsi="Arial" w:cs="Arial"/>
          <w:b/>
          <w:color w:val="000000"/>
          <w:szCs w:val="20"/>
        </w:rPr>
        <w:t>Energy charge</w:t>
      </w:r>
      <w:r>
        <w:rPr>
          <w:rFonts w:ascii="Arial" w:eastAsia="Arial" w:hAnsi="Arial" w:cs="Arial"/>
          <w:color w:val="000000"/>
          <w:szCs w:val="20"/>
        </w:rPr>
        <w:t xml:space="preserve"> (c/kWh): The variable cost associated with the volume of energy consumed is recovered through appropriate charges. This is billed on a per kWh basis and may be simple (Flat or Inclining Block tariff) or complex (Time of Use or other tariff).</w:t>
      </w:r>
    </w:p>
    <w:p w14:paraId="43FC41C9" w14:textId="77777777" w:rsidR="009045EB" w:rsidRDefault="009045EB">
      <w:pPr>
        <w:pBdr>
          <w:top w:val="nil"/>
          <w:left w:val="nil"/>
          <w:bottom w:val="nil"/>
          <w:right w:val="nil"/>
          <w:between w:val="nil"/>
        </w:pBdr>
        <w:spacing w:line="276" w:lineRule="auto"/>
        <w:ind w:left="720" w:hanging="720"/>
        <w:jc w:val="both"/>
        <w:rPr>
          <w:rFonts w:ascii="Arial" w:eastAsia="Arial" w:hAnsi="Arial" w:cs="Arial"/>
          <w:color w:val="000000"/>
          <w:szCs w:val="20"/>
        </w:rPr>
      </w:pPr>
    </w:p>
    <w:p w14:paraId="43FC41CA" w14:textId="77777777" w:rsidR="009045EB" w:rsidRDefault="0072593A">
      <w:pPr>
        <w:pBdr>
          <w:top w:val="nil"/>
          <w:left w:val="nil"/>
          <w:bottom w:val="nil"/>
          <w:right w:val="nil"/>
          <w:between w:val="nil"/>
        </w:pBdr>
        <w:spacing w:line="276" w:lineRule="auto"/>
        <w:ind w:left="720" w:hanging="720"/>
        <w:jc w:val="both"/>
        <w:rPr>
          <w:rFonts w:ascii="Arial" w:eastAsia="Arial" w:hAnsi="Arial" w:cs="Arial"/>
          <w:color w:val="000000"/>
          <w:szCs w:val="20"/>
        </w:rPr>
      </w:pPr>
      <w:bookmarkStart w:id="64" w:name="_heading=h.2zbgiuw" w:colFirst="0" w:colLast="0"/>
      <w:bookmarkEnd w:id="64"/>
      <w:r>
        <w:rPr>
          <w:rFonts w:ascii="Arial" w:eastAsia="Arial" w:hAnsi="Arial" w:cs="Arial"/>
          <w:b/>
          <w:color w:val="000000"/>
          <w:szCs w:val="20"/>
        </w:rPr>
        <w:t>Export (Feed-in) credit</w:t>
      </w:r>
      <w:r>
        <w:rPr>
          <w:rFonts w:ascii="Arial" w:eastAsia="Arial" w:hAnsi="Arial" w:cs="Arial"/>
          <w:color w:val="000000"/>
          <w:szCs w:val="20"/>
        </w:rPr>
        <w:t xml:space="preserve"> (c/kWh): The compensation to the customer for energy provided back onto the network.</w:t>
      </w:r>
    </w:p>
    <w:p w14:paraId="43FC41CB" w14:textId="77777777" w:rsidR="009045EB" w:rsidRDefault="0072593A">
      <w:pPr>
        <w:pStyle w:val="Heading2"/>
        <w:numPr>
          <w:ilvl w:val="1"/>
          <w:numId w:val="12"/>
        </w:numPr>
      </w:pPr>
      <w:bookmarkStart w:id="65" w:name="_Toc128033256"/>
      <w:r>
        <w:t>Commercial and Industrial SSEG Tariff</w:t>
      </w:r>
      <w:bookmarkEnd w:id="65"/>
      <w:r>
        <w:t xml:space="preserve"> </w:t>
      </w:r>
    </w:p>
    <w:p w14:paraId="43FC41CC"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Commercial and industrial customers that are on tariffs which already have a fixed service charge and network demand charge will retain a similar tariff structure, and an export (feed-in) generation tariff credit will be added for reimbursement for energy exported onto the municipal electrical network. Customers on a tariff that does not include fixed service/network charge and demand charge will be changed to an appropriate tariff.</w:t>
      </w:r>
    </w:p>
    <w:p w14:paraId="43FC41CD"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CE"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Commercial and Industrial customers should note that the demand charge component of the tariff is unlikely to change after the installation of the SSEG because the monthly maximum demand is unlikely to reduce due to the regular occurrence of cloudy weather.</w:t>
      </w:r>
    </w:p>
    <w:p w14:paraId="43FC41CF" w14:textId="77777777" w:rsidR="009045EB" w:rsidRDefault="0072593A">
      <w:pPr>
        <w:pStyle w:val="Heading2"/>
        <w:numPr>
          <w:ilvl w:val="1"/>
          <w:numId w:val="12"/>
        </w:numPr>
      </w:pPr>
      <w:bookmarkStart w:id="66" w:name="_Toc128033257"/>
      <w:r>
        <w:lastRenderedPageBreak/>
        <w:t>Billing Period</w:t>
      </w:r>
      <w:bookmarkEnd w:id="66"/>
    </w:p>
    <w:p w14:paraId="43FC41D0" w14:textId="1A84B05A"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service charge along with charges for consumption and credits for feed-in will be billed monthly.  Any credits from excess SSEG generation in a particular month will be rolled over to the following month. </w:t>
      </w:r>
      <w:r>
        <w:rPr>
          <w:rFonts w:ascii="Arial" w:eastAsia="Arial" w:hAnsi="Arial" w:cs="Arial"/>
          <w:color w:val="000000"/>
          <w:szCs w:val="20"/>
          <w:highlight w:val="yellow"/>
        </w:rPr>
        <w:t>Credits will not be paid out to the customer.</w:t>
      </w:r>
    </w:p>
    <w:p w14:paraId="43FC41D1" w14:textId="77777777" w:rsidR="009045EB" w:rsidRDefault="0072593A">
      <w:pPr>
        <w:pStyle w:val="Heading2"/>
        <w:numPr>
          <w:ilvl w:val="1"/>
          <w:numId w:val="12"/>
        </w:numPr>
      </w:pPr>
      <w:bookmarkStart w:id="67" w:name="_Toc128033258"/>
      <w:r>
        <w:t>Connection Costs</w:t>
      </w:r>
      <w:bookmarkEnd w:id="67"/>
    </w:p>
    <w:p w14:paraId="43FC41D2"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Municipality may stipulate a connection cost to be paid by SSEG customers prior to system generation approval.  This will be reflected in the currently applicable tariff and charge schedule.</w:t>
      </w:r>
    </w:p>
    <w:p w14:paraId="43FC41D3" w14:textId="77777777" w:rsidR="009045EB" w:rsidRDefault="0072593A">
      <w:pPr>
        <w:pStyle w:val="Heading2"/>
        <w:numPr>
          <w:ilvl w:val="1"/>
          <w:numId w:val="12"/>
        </w:numPr>
      </w:pPr>
      <w:bookmarkStart w:id="68" w:name="_Toc128033259"/>
      <w:r>
        <w:t>Increased Costs</w:t>
      </w:r>
      <w:bookmarkEnd w:id="68"/>
    </w:p>
    <w:p w14:paraId="43FC41D4"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Municipality bares no responsibility should the customer’s electricity bill increase due to changes in the applicable tariff. It is up to the customer to ensure that they understand the financial implications of having an SSEG installation installed and the applicable tariffs.</w:t>
      </w:r>
    </w:p>
    <w:p w14:paraId="43FC41D5" w14:textId="77777777" w:rsidR="009045EB" w:rsidRDefault="0072593A">
      <w:pPr>
        <w:pStyle w:val="Heading2"/>
        <w:numPr>
          <w:ilvl w:val="1"/>
          <w:numId w:val="12"/>
        </w:numPr>
      </w:pPr>
      <w:bookmarkStart w:id="69" w:name="_Toc128033260"/>
      <w:r>
        <w:t>Time-of-Use Tariffs</w:t>
      </w:r>
      <w:bookmarkEnd w:id="69"/>
    </w:p>
    <w:p w14:paraId="43FC41D6"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Time of Use tariffs are considered best practice for both consumption and export (feed-in) tariffs, and municipalities may increasingly move all customers to such tariffs in future.</w:t>
      </w:r>
    </w:p>
    <w:p w14:paraId="43FC41D7" w14:textId="77777777" w:rsidR="009045EB" w:rsidRDefault="009045EB">
      <w:pPr>
        <w:pBdr>
          <w:top w:val="nil"/>
          <w:left w:val="nil"/>
          <w:bottom w:val="nil"/>
          <w:right w:val="nil"/>
          <w:between w:val="nil"/>
        </w:pBdr>
        <w:spacing w:before="120"/>
        <w:ind w:left="1440" w:hanging="360"/>
        <w:rPr>
          <w:rFonts w:ascii="Arial" w:eastAsia="Arial" w:hAnsi="Arial" w:cs="Arial"/>
          <w:color w:val="000000"/>
          <w:szCs w:val="20"/>
        </w:rPr>
      </w:pPr>
    </w:p>
    <w:p w14:paraId="43FC41D8" w14:textId="77777777" w:rsidR="009045EB" w:rsidRDefault="0072593A">
      <w:pPr>
        <w:pStyle w:val="Heading1"/>
        <w:numPr>
          <w:ilvl w:val="0"/>
          <w:numId w:val="12"/>
        </w:numPr>
        <w:rPr>
          <w:rFonts w:ascii="Arial" w:eastAsia="Arial" w:hAnsi="Arial" w:cs="Arial"/>
        </w:rPr>
      </w:pPr>
      <w:bookmarkStart w:id="70" w:name="_Toc128033261"/>
      <w:r>
        <w:rPr>
          <w:rFonts w:ascii="Arial" w:eastAsia="Arial" w:hAnsi="Arial" w:cs="Arial"/>
        </w:rPr>
        <w:t>Approvals required from other municipal departments</w:t>
      </w:r>
      <w:bookmarkEnd w:id="70"/>
      <w:r>
        <w:rPr>
          <w:rFonts w:ascii="Arial" w:eastAsia="Arial" w:hAnsi="Arial" w:cs="Arial"/>
        </w:rPr>
        <w:t xml:space="preserve"> </w:t>
      </w:r>
    </w:p>
    <w:p w14:paraId="43FC41D9"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Where relevant, approvals required of other municipal departments are to be obtained prior to submission of the SSEG application form, and reflected on the form.</w:t>
      </w:r>
    </w:p>
    <w:p w14:paraId="43FC41DA" w14:textId="77777777" w:rsidR="009045EB" w:rsidRDefault="0072593A">
      <w:pPr>
        <w:pStyle w:val="Heading2"/>
        <w:numPr>
          <w:ilvl w:val="1"/>
          <w:numId w:val="12"/>
        </w:numPr>
      </w:pPr>
      <w:bookmarkStart w:id="71" w:name="_Toc128033262"/>
      <w:r>
        <w:t>Buildings/Planning department</w:t>
      </w:r>
      <w:bookmarkEnd w:id="71"/>
      <w:r>
        <w:t xml:space="preserve"> </w:t>
      </w:r>
    </w:p>
    <w:p w14:paraId="43FC41DB"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No building plans are required to be submitted provided the SSEG installation does not project more than 1.5 m, measured perpendicularly, above the roof and/or not more than 600mm above the highest point of the roof. If the above parameters are exceeded then full building plans, including an engineer’s endorsement, are required. A relaxation in terms of the Zoning Scheme Regulations may also be required under either one or both of the above circumstances.</w:t>
      </w:r>
    </w:p>
    <w:p w14:paraId="43FC41DC"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DD"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b/>
          <w:color w:val="000000"/>
          <w:szCs w:val="20"/>
        </w:rPr>
        <w:t>Ground-mounted systems</w:t>
      </w:r>
      <w:r>
        <w:rPr>
          <w:rFonts w:ascii="Arial" w:eastAsia="Arial" w:hAnsi="Arial" w:cs="Arial"/>
          <w:color w:val="000000"/>
          <w:szCs w:val="20"/>
        </w:rPr>
        <w:t>: no building plans are required to be submitted provided the panel(s) in its installed position does not project more than 2.1 metres above the natural/finished ground level. Full building plans are required where any part of the installation projects more than 2.1 metres above the ground level.</w:t>
      </w:r>
    </w:p>
    <w:p w14:paraId="43FC41DE" w14:textId="77777777" w:rsidR="009045EB" w:rsidRDefault="0072593A">
      <w:pPr>
        <w:pStyle w:val="Heading2"/>
        <w:numPr>
          <w:ilvl w:val="1"/>
          <w:numId w:val="12"/>
        </w:numPr>
      </w:pPr>
      <w:bookmarkStart w:id="72" w:name="_Toc128033263"/>
      <w:r>
        <w:t>Other Approvals</w:t>
      </w:r>
      <w:bookmarkEnd w:id="72"/>
      <w:r>
        <w:t xml:space="preserve"> </w:t>
      </w:r>
    </w:p>
    <w:p w14:paraId="43FC41DF" w14:textId="3216B33A"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SSEG installations covered by this document </w:t>
      </w:r>
      <w:r w:rsidR="00020641">
        <w:rPr>
          <w:rFonts w:ascii="Arial" w:eastAsia="Arial" w:hAnsi="Arial" w:cs="Arial"/>
          <w:color w:val="000000"/>
          <w:szCs w:val="20"/>
        </w:rPr>
        <w:t xml:space="preserve">generally </w:t>
      </w:r>
      <w:r>
        <w:rPr>
          <w:rFonts w:ascii="Arial" w:eastAsia="Arial" w:hAnsi="Arial" w:cs="Arial"/>
          <w:color w:val="000000"/>
          <w:szCs w:val="20"/>
        </w:rPr>
        <w:t>do not require Environmental Impact Assessments.</w:t>
      </w:r>
    </w:p>
    <w:p w14:paraId="43FC41E0"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For generators that produce noise or air pollutants (e.g. diesel generators), approval from Municipal departments is required (e.g. Health, Environment).</w:t>
      </w:r>
    </w:p>
    <w:p w14:paraId="43FC41E1"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1E2" w14:textId="77777777" w:rsidR="009045EB" w:rsidRDefault="0072593A">
      <w:pPr>
        <w:pStyle w:val="Heading1"/>
        <w:numPr>
          <w:ilvl w:val="0"/>
          <w:numId w:val="12"/>
        </w:numPr>
        <w:rPr>
          <w:rFonts w:ascii="Arial" w:eastAsia="Arial" w:hAnsi="Arial" w:cs="Arial"/>
        </w:rPr>
      </w:pPr>
      <w:bookmarkStart w:id="73" w:name="_Toc128033264"/>
      <w:r>
        <w:rPr>
          <w:rFonts w:ascii="Arial" w:eastAsia="Arial" w:hAnsi="Arial" w:cs="Arial"/>
        </w:rPr>
        <w:t>What payments may be due by the customer?</w:t>
      </w:r>
      <w:bookmarkEnd w:id="73"/>
      <w:r>
        <w:rPr>
          <w:rFonts w:ascii="Arial" w:eastAsia="Arial" w:hAnsi="Arial" w:cs="Arial"/>
        </w:rPr>
        <w:t xml:space="preserve"> </w:t>
      </w:r>
    </w:p>
    <w:p w14:paraId="43FC41E3"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customer is responsible to pay for the following:</w:t>
      </w:r>
    </w:p>
    <w:p w14:paraId="43FC41E4" w14:textId="77777777" w:rsidR="009045EB" w:rsidRDefault="0072593A">
      <w:pPr>
        <w:numPr>
          <w:ilvl w:val="0"/>
          <w:numId w:val="2"/>
        </w:numPr>
        <w:pBdr>
          <w:top w:val="nil"/>
          <w:left w:val="nil"/>
          <w:bottom w:val="nil"/>
          <w:right w:val="nil"/>
          <w:between w:val="nil"/>
        </w:pBdr>
        <w:spacing w:line="240" w:lineRule="auto"/>
        <w:jc w:val="both"/>
      </w:pPr>
      <w:r>
        <w:rPr>
          <w:rFonts w:ascii="Arial" w:eastAsia="Arial" w:hAnsi="Arial" w:cs="Arial"/>
          <w:color w:val="000000"/>
          <w:szCs w:val="20"/>
        </w:rPr>
        <w:t>The supply and installation of meters (in accordance with the Municipality’s metering policy)</w:t>
      </w:r>
    </w:p>
    <w:p w14:paraId="43FC41E5" w14:textId="77777777" w:rsidR="009045EB" w:rsidRDefault="0072593A">
      <w:pPr>
        <w:numPr>
          <w:ilvl w:val="0"/>
          <w:numId w:val="2"/>
        </w:numPr>
        <w:pBdr>
          <w:top w:val="nil"/>
          <w:left w:val="nil"/>
          <w:bottom w:val="nil"/>
          <w:right w:val="nil"/>
          <w:between w:val="nil"/>
        </w:pBdr>
        <w:spacing w:line="240" w:lineRule="auto"/>
        <w:jc w:val="both"/>
      </w:pPr>
      <w:r>
        <w:rPr>
          <w:rFonts w:ascii="Arial" w:eastAsia="Arial" w:hAnsi="Arial" w:cs="Arial"/>
          <w:color w:val="000000"/>
          <w:szCs w:val="20"/>
        </w:rPr>
        <w:t>Connection charges (if applicable)</w:t>
      </w:r>
    </w:p>
    <w:p w14:paraId="43FC41E6" w14:textId="2BE693C9" w:rsidR="009045EB" w:rsidRDefault="0072593A">
      <w:pPr>
        <w:numPr>
          <w:ilvl w:val="0"/>
          <w:numId w:val="2"/>
        </w:numPr>
        <w:pBdr>
          <w:top w:val="nil"/>
          <w:left w:val="nil"/>
          <w:bottom w:val="nil"/>
          <w:right w:val="nil"/>
          <w:between w:val="nil"/>
        </w:pBdr>
        <w:spacing w:line="240" w:lineRule="auto"/>
        <w:jc w:val="both"/>
      </w:pPr>
      <w:r>
        <w:rPr>
          <w:rFonts w:ascii="Arial" w:eastAsia="Arial" w:hAnsi="Arial" w:cs="Arial"/>
          <w:color w:val="000000"/>
          <w:szCs w:val="20"/>
        </w:rPr>
        <w:lastRenderedPageBreak/>
        <w:t xml:space="preserve">Specialist municipal electrical network impact studies </w:t>
      </w:r>
      <w:r w:rsidR="006F1717">
        <w:rPr>
          <w:rFonts w:ascii="Arial" w:eastAsia="Arial" w:hAnsi="Arial" w:cs="Arial"/>
          <w:color w:val="000000"/>
          <w:szCs w:val="20"/>
        </w:rPr>
        <w:t>–</w:t>
      </w:r>
      <w:r>
        <w:rPr>
          <w:rFonts w:ascii="Arial" w:eastAsia="Arial" w:hAnsi="Arial" w:cs="Arial"/>
          <w:color w:val="000000"/>
          <w:szCs w:val="20"/>
        </w:rPr>
        <w:t xml:space="preserve"> if required (details of payment amounts are to be discussed with the municipality)</w:t>
      </w:r>
    </w:p>
    <w:p w14:paraId="43FC41E7" w14:textId="77777777" w:rsidR="009045EB" w:rsidRDefault="0072593A">
      <w:pPr>
        <w:numPr>
          <w:ilvl w:val="0"/>
          <w:numId w:val="2"/>
        </w:numPr>
        <w:pBdr>
          <w:top w:val="nil"/>
          <w:left w:val="nil"/>
          <w:bottom w:val="nil"/>
          <w:right w:val="nil"/>
          <w:between w:val="nil"/>
        </w:pBdr>
        <w:spacing w:line="240" w:lineRule="auto"/>
        <w:jc w:val="both"/>
      </w:pPr>
      <w:r>
        <w:rPr>
          <w:rFonts w:ascii="Arial" w:eastAsia="Arial" w:hAnsi="Arial" w:cs="Arial"/>
          <w:color w:val="000000"/>
          <w:szCs w:val="20"/>
        </w:rPr>
        <w:t>Any changes required to the municipal electrical network upstream of the connection point as a result of the SSEG installation.</w:t>
      </w:r>
    </w:p>
    <w:p w14:paraId="43FC41E8" w14:textId="77777777" w:rsidR="009045EB" w:rsidRDefault="0072593A">
      <w:pPr>
        <w:numPr>
          <w:ilvl w:val="0"/>
          <w:numId w:val="2"/>
        </w:numPr>
        <w:pBdr>
          <w:top w:val="nil"/>
          <w:left w:val="nil"/>
          <w:bottom w:val="nil"/>
          <w:right w:val="nil"/>
          <w:between w:val="nil"/>
        </w:pBdr>
        <w:spacing w:line="240" w:lineRule="auto"/>
        <w:jc w:val="both"/>
      </w:pPr>
      <w:r>
        <w:rPr>
          <w:rFonts w:ascii="Arial" w:eastAsia="Arial" w:hAnsi="Arial" w:cs="Arial"/>
          <w:color w:val="000000"/>
          <w:szCs w:val="20"/>
        </w:rPr>
        <w:t>Specialist test that are required, e.g. Inverter testing</w:t>
      </w:r>
    </w:p>
    <w:p w14:paraId="43FC41E9" w14:textId="77777777" w:rsidR="009045EB" w:rsidRDefault="0072593A">
      <w:pPr>
        <w:numPr>
          <w:ilvl w:val="0"/>
          <w:numId w:val="10"/>
        </w:numPr>
        <w:pBdr>
          <w:top w:val="nil"/>
          <w:left w:val="nil"/>
          <w:bottom w:val="nil"/>
          <w:right w:val="nil"/>
          <w:between w:val="nil"/>
        </w:pBdr>
        <w:spacing w:line="276" w:lineRule="auto"/>
        <w:jc w:val="both"/>
      </w:pPr>
      <w:r>
        <w:rPr>
          <w:rFonts w:ascii="Arial" w:eastAsia="Arial" w:hAnsi="Arial" w:cs="Arial"/>
          <w:color w:val="000000"/>
          <w:szCs w:val="20"/>
        </w:rPr>
        <w:t>Any other costs associated with obtaining approval for the SSEG connection to the municipal grid</w:t>
      </w:r>
    </w:p>
    <w:p w14:paraId="43FC41EA" w14:textId="77777777" w:rsidR="009045EB" w:rsidRDefault="0072593A">
      <w:pPr>
        <w:pStyle w:val="Heading1"/>
        <w:numPr>
          <w:ilvl w:val="0"/>
          <w:numId w:val="12"/>
        </w:numPr>
        <w:rPr>
          <w:rFonts w:ascii="Arial" w:eastAsia="Arial" w:hAnsi="Arial" w:cs="Arial"/>
        </w:rPr>
      </w:pPr>
      <w:bookmarkStart w:id="74" w:name="_Toc128033265"/>
      <w:r>
        <w:rPr>
          <w:rFonts w:ascii="Arial" w:eastAsia="Arial" w:hAnsi="Arial" w:cs="Arial"/>
        </w:rPr>
        <w:t>SSEG application process</w:t>
      </w:r>
      <w:bookmarkEnd w:id="74"/>
      <w:r>
        <w:rPr>
          <w:rFonts w:ascii="Arial" w:eastAsia="Arial" w:hAnsi="Arial" w:cs="Arial"/>
        </w:rPr>
        <w:t xml:space="preserve"> </w:t>
      </w:r>
    </w:p>
    <w:p w14:paraId="43FC41EB" w14:textId="0BED1FD3"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The </w:t>
      </w:r>
      <w:r>
        <w:rPr>
          <w:rFonts w:ascii="Arial" w:eastAsia="Arial" w:hAnsi="Arial" w:cs="Arial"/>
          <w:i/>
          <w:color w:val="000000"/>
          <w:szCs w:val="20"/>
        </w:rPr>
        <w:t>Application for the Connection of Embedded Generation</w:t>
      </w:r>
      <w:r>
        <w:rPr>
          <w:rFonts w:ascii="Arial" w:eastAsia="Arial" w:hAnsi="Arial" w:cs="Arial"/>
          <w:color w:val="000000"/>
          <w:szCs w:val="20"/>
        </w:rPr>
        <w:t xml:space="preserve"> form shall be completed for all applications to connect an SSEG installation to the municipal electrical network. The forms are available on the Municipality’s website or from the </w:t>
      </w:r>
      <w:r w:rsidR="00581FFD">
        <w:rPr>
          <w:rFonts w:ascii="Arial" w:eastAsia="Arial" w:hAnsi="Arial" w:cs="Arial"/>
          <w:color w:val="000000"/>
          <w:szCs w:val="20"/>
        </w:rPr>
        <w:t>Energy office in the Engineers Department</w:t>
      </w:r>
      <w:r>
        <w:rPr>
          <w:rFonts w:ascii="Arial" w:eastAsia="Arial" w:hAnsi="Arial" w:cs="Arial"/>
          <w:color w:val="000000"/>
          <w:szCs w:val="20"/>
        </w:rPr>
        <w:t>.</w:t>
      </w:r>
    </w:p>
    <w:p w14:paraId="43FC41EC" w14:textId="77777777" w:rsidR="009045EB" w:rsidRDefault="0072593A">
      <w:pPr>
        <w:numPr>
          <w:ilvl w:val="0"/>
          <w:numId w:val="13"/>
        </w:numPr>
        <w:pBdr>
          <w:top w:val="nil"/>
          <w:left w:val="nil"/>
          <w:bottom w:val="nil"/>
          <w:right w:val="nil"/>
          <w:between w:val="nil"/>
        </w:pBdr>
        <w:spacing w:before="120"/>
        <w:ind w:left="426"/>
        <w:jc w:val="both"/>
        <w:rPr>
          <w:rFonts w:ascii="Arial" w:eastAsia="Arial" w:hAnsi="Arial" w:cs="Arial"/>
          <w:b/>
          <w:color w:val="287D97"/>
          <w:sz w:val="24"/>
        </w:rPr>
      </w:pPr>
      <w:bookmarkStart w:id="75" w:name="_heading=h.25b2l0r" w:colFirst="0" w:colLast="0"/>
      <w:bookmarkEnd w:id="75"/>
      <w:r>
        <w:rPr>
          <w:rFonts w:ascii="Arial" w:eastAsia="Arial" w:hAnsi="Arial" w:cs="Arial"/>
          <w:b/>
          <w:color w:val="287D97"/>
          <w:sz w:val="24"/>
        </w:rPr>
        <w:t>Step 1: Obtain the Application Form</w:t>
      </w:r>
    </w:p>
    <w:p w14:paraId="43FC41ED" w14:textId="491589F1"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Visit the Municipality’s website and download the relevant application form/s or request the forms from the</w:t>
      </w:r>
      <w:r w:rsidR="00581FFD">
        <w:rPr>
          <w:rFonts w:ascii="Arial" w:eastAsia="Arial" w:hAnsi="Arial" w:cs="Arial"/>
          <w:color w:val="000000"/>
          <w:szCs w:val="20"/>
        </w:rPr>
        <w:t xml:space="preserve"> Energy office in the Engineers Department.</w:t>
      </w:r>
    </w:p>
    <w:p w14:paraId="43FC41EE" w14:textId="77777777" w:rsidR="009045EB" w:rsidRDefault="0072593A">
      <w:pPr>
        <w:pBdr>
          <w:top w:val="nil"/>
          <w:left w:val="nil"/>
          <w:bottom w:val="nil"/>
          <w:right w:val="nil"/>
          <w:between w:val="nil"/>
        </w:pBdr>
        <w:tabs>
          <w:tab w:val="left" w:pos="2101"/>
        </w:tabs>
        <w:spacing w:before="120"/>
        <w:ind w:left="1440" w:hanging="360"/>
        <w:rPr>
          <w:rFonts w:ascii="Arial" w:eastAsia="Arial" w:hAnsi="Arial" w:cs="Arial"/>
          <w:color w:val="287D97"/>
          <w:szCs w:val="20"/>
        </w:rPr>
      </w:pPr>
      <w:r>
        <w:rPr>
          <w:rFonts w:ascii="Arial" w:eastAsia="Arial" w:hAnsi="Arial" w:cs="Arial"/>
          <w:color w:val="287D97"/>
          <w:szCs w:val="20"/>
        </w:rPr>
        <w:tab/>
      </w:r>
    </w:p>
    <w:p w14:paraId="43FC41EF" w14:textId="77777777" w:rsidR="009045EB" w:rsidRDefault="0072593A">
      <w:pPr>
        <w:numPr>
          <w:ilvl w:val="0"/>
          <w:numId w:val="13"/>
        </w:numPr>
        <w:pBdr>
          <w:top w:val="nil"/>
          <w:left w:val="nil"/>
          <w:bottom w:val="nil"/>
          <w:right w:val="nil"/>
          <w:between w:val="nil"/>
        </w:pBdr>
        <w:ind w:left="426" w:hanging="357"/>
        <w:jc w:val="both"/>
        <w:rPr>
          <w:rFonts w:ascii="Arial" w:eastAsia="Arial" w:hAnsi="Arial" w:cs="Arial"/>
          <w:b/>
          <w:color w:val="287D97"/>
          <w:sz w:val="24"/>
        </w:rPr>
      </w:pPr>
      <w:bookmarkStart w:id="76" w:name="_heading=h.kgcv8k" w:colFirst="0" w:colLast="0"/>
      <w:bookmarkEnd w:id="76"/>
      <w:r>
        <w:rPr>
          <w:rFonts w:ascii="Arial" w:eastAsia="Arial" w:hAnsi="Arial" w:cs="Arial"/>
          <w:b/>
          <w:color w:val="287D97"/>
          <w:sz w:val="24"/>
        </w:rPr>
        <w:t>Step 2: Complete application form for the connection of SSEG</w:t>
      </w:r>
    </w:p>
    <w:p w14:paraId="43FC41F0"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The Municipality requires that the application form/s be signed by the current electricity customer/account holder. </w:t>
      </w:r>
    </w:p>
    <w:p w14:paraId="43FC41F1"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Details of the proposed installer shall also be provided. </w:t>
      </w:r>
    </w:p>
    <w:p w14:paraId="43FC41F2"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The customer may need support from the proposed installer or registered personnel in completing the application form.</w:t>
      </w:r>
    </w:p>
    <w:p w14:paraId="43FC41F3" w14:textId="3D80B250" w:rsidR="009045EB" w:rsidRPr="00581FFD" w:rsidRDefault="0072593A">
      <w:pPr>
        <w:numPr>
          <w:ilvl w:val="1"/>
          <w:numId w:val="13"/>
        </w:numPr>
        <w:pBdr>
          <w:top w:val="nil"/>
          <w:left w:val="nil"/>
          <w:bottom w:val="nil"/>
          <w:right w:val="nil"/>
          <w:between w:val="nil"/>
        </w:pBdr>
        <w:ind w:hanging="566"/>
        <w:jc w:val="both"/>
      </w:pPr>
      <w:r w:rsidRPr="00581FFD">
        <w:rPr>
          <w:rFonts w:ascii="Arial" w:eastAsia="Arial" w:hAnsi="Arial" w:cs="Arial"/>
          <w:color w:val="000000"/>
          <w:szCs w:val="20"/>
        </w:rPr>
        <w:t xml:space="preserve">By signing the application form the customer agrees to the </w:t>
      </w:r>
      <w:r w:rsidRPr="00581FFD">
        <w:rPr>
          <w:rFonts w:ascii="Arial" w:eastAsia="Arial" w:hAnsi="Arial" w:cs="Arial"/>
          <w:i/>
          <w:color w:val="000000"/>
          <w:szCs w:val="20"/>
        </w:rPr>
        <w:t>General Terms and Conditions:</w:t>
      </w:r>
      <w:r w:rsidRPr="00581FFD">
        <w:rPr>
          <w:rFonts w:ascii="Arial" w:eastAsia="Arial" w:hAnsi="Arial" w:cs="Arial"/>
          <w:color w:val="000000"/>
          <w:szCs w:val="20"/>
        </w:rPr>
        <w:t xml:space="preserve"> </w:t>
      </w:r>
      <w:r w:rsidRPr="00581FFD">
        <w:rPr>
          <w:rFonts w:ascii="Arial" w:eastAsia="Arial" w:hAnsi="Arial" w:cs="Arial"/>
          <w:i/>
          <w:color w:val="000000"/>
          <w:szCs w:val="20"/>
        </w:rPr>
        <w:t>Contract for Connection of an Embedded Generator</w:t>
      </w:r>
      <w:r w:rsidRPr="00581FFD">
        <w:rPr>
          <w:rFonts w:ascii="Arial" w:eastAsia="Arial" w:hAnsi="Arial" w:cs="Arial"/>
          <w:color w:val="000000"/>
          <w:szCs w:val="20"/>
        </w:rPr>
        <w:t xml:space="preserve"> (this document is available on the municipal website or on request from th</w:t>
      </w:r>
      <w:r w:rsidR="00581FFD">
        <w:rPr>
          <w:rFonts w:ascii="Arial" w:eastAsia="Arial" w:hAnsi="Arial" w:cs="Arial"/>
          <w:color w:val="000000"/>
          <w:szCs w:val="20"/>
        </w:rPr>
        <w:t>e Energy office in the Engineers Department</w:t>
      </w:r>
      <w:r w:rsidRPr="00581FFD">
        <w:rPr>
          <w:rFonts w:ascii="Arial" w:eastAsia="Arial" w:hAnsi="Arial" w:cs="Arial"/>
          <w:color w:val="000000"/>
          <w:szCs w:val="20"/>
        </w:rPr>
        <w:t>).</w:t>
      </w:r>
    </w:p>
    <w:p w14:paraId="43FC41F4" w14:textId="77777777" w:rsidR="009045EB" w:rsidRDefault="009045EB">
      <w:pPr>
        <w:pBdr>
          <w:top w:val="nil"/>
          <w:left w:val="nil"/>
          <w:bottom w:val="nil"/>
          <w:right w:val="nil"/>
          <w:between w:val="nil"/>
        </w:pBdr>
        <w:ind w:left="1134" w:hanging="566"/>
        <w:jc w:val="both"/>
        <w:rPr>
          <w:rFonts w:ascii="Arial" w:eastAsia="Arial" w:hAnsi="Arial" w:cs="Arial"/>
          <w:color w:val="000000"/>
          <w:szCs w:val="20"/>
        </w:rPr>
      </w:pPr>
    </w:p>
    <w:p w14:paraId="43FC41F5" w14:textId="77777777" w:rsidR="009045EB" w:rsidRDefault="0072593A">
      <w:pPr>
        <w:numPr>
          <w:ilvl w:val="0"/>
          <w:numId w:val="13"/>
        </w:numPr>
        <w:pBdr>
          <w:top w:val="nil"/>
          <w:left w:val="nil"/>
          <w:bottom w:val="nil"/>
          <w:right w:val="nil"/>
          <w:between w:val="nil"/>
        </w:pBdr>
        <w:spacing w:before="120"/>
        <w:ind w:left="426" w:hanging="357"/>
        <w:jc w:val="both"/>
        <w:rPr>
          <w:rFonts w:ascii="Arial" w:eastAsia="Arial" w:hAnsi="Arial" w:cs="Arial"/>
          <w:b/>
          <w:color w:val="287D97"/>
          <w:sz w:val="24"/>
        </w:rPr>
      </w:pPr>
      <w:bookmarkStart w:id="77" w:name="_heading=h.34g0dwd" w:colFirst="0" w:colLast="0"/>
      <w:bookmarkEnd w:id="77"/>
      <w:r>
        <w:rPr>
          <w:rFonts w:ascii="Arial" w:eastAsia="Arial" w:hAnsi="Arial" w:cs="Arial"/>
          <w:b/>
          <w:color w:val="287D97"/>
          <w:sz w:val="24"/>
        </w:rPr>
        <w:t>Step 3: Obtain permission from other Municipality departments</w:t>
      </w:r>
    </w:p>
    <w:p w14:paraId="43FC41F6" w14:textId="77777777" w:rsidR="009045EB" w:rsidRDefault="0072593A">
      <w:pPr>
        <w:numPr>
          <w:ilvl w:val="1"/>
          <w:numId w:val="13"/>
        </w:numPr>
        <w:pBdr>
          <w:top w:val="nil"/>
          <w:left w:val="nil"/>
          <w:bottom w:val="nil"/>
          <w:right w:val="nil"/>
          <w:between w:val="nil"/>
        </w:pBdr>
        <w:spacing w:line="276" w:lineRule="auto"/>
        <w:ind w:hanging="566"/>
        <w:jc w:val="both"/>
      </w:pPr>
      <w:bookmarkStart w:id="78" w:name="_heading=h.1jlao46" w:colFirst="0" w:colLast="0"/>
      <w:bookmarkEnd w:id="78"/>
      <w:r>
        <w:rPr>
          <w:rFonts w:ascii="Arial" w:eastAsia="Arial" w:hAnsi="Arial" w:cs="Arial"/>
          <w:color w:val="000000"/>
          <w:szCs w:val="20"/>
        </w:rPr>
        <w:t>The electricity department may require prior approval of the proposed SSEG installation from other departments as stipulated in the form (e.g. buildings department) if relevant. All relevant approvals must be reflected in or submitted with the application form.</w:t>
      </w:r>
    </w:p>
    <w:p w14:paraId="43FC41F7" w14:textId="77777777" w:rsidR="009045EB" w:rsidRDefault="009045EB">
      <w:pPr>
        <w:pBdr>
          <w:top w:val="nil"/>
          <w:left w:val="nil"/>
          <w:bottom w:val="nil"/>
          <w:right w:val="nil"/>
          <w:between w:val="nil"/>
        </w:pBdr>
        <w:spacing w:line="276" w:lineRule="auto"/>
        <w:ind w:left="1134" w:hanging="566"/>
        <w:jc w:val="both"/>
        <w:rPr>
          <w:rFonts w:ascii="Arial" w:eastAsia="Arial" w:hAnsi="Arial" w:cs="Arial"/>
          <w:color w:val="000000"/>
          <w:szCs w:val="20"/>
        </w:rPr>
      </w:pPr>
    </w:p>
    <w:p w14:paraId="43FC41F8" w14:textId="77777777" w:rsidR="009045EB" w:rsidRDefault="0072593A">
      <w:pPr>
        <w:numPr>
          <w:ilvl w:val="0"/>
          <w:numId w:val="13"/>
        </w:numPr>
        <w:pBdr>
          <w:top w:val="nil"/>
          <w:left w:val="nil"/>
          <w:bottom w:val="nil"/>
          <w:right w:val="nil"/>
          <w:between w:val="nil"/>
        </w:pBdr>
        <w:spacing w:before="120"/>
        <w:ind w:left="426" w:hanging="357"/>
        <w:jc w:val="both"/>
        <w:rPr>
          <w:rFonts w:ascii="Arial" w:eastAsia="Arial" w:hAnsi="Arial" w:cs="Arial"/>
          <w:b/>
          <w:color w:val="287D97"/>
          <w:sz w:val="24"/>
        </w:rPr>
      </w:pPr>
      <w:bookmarkStart w:id="79" w:name="_heading=h.43ky6rz" w:colFirst="0" w:colLast="0"/>
      <w:bookmarkEnd w:id="79"/>
      <w:r>
        <w:rPr>
          <w:rFonts w:ascii="Arial" w:eastAsia="Arial" w:hAnsi="Arial" w:cs="Arial"/>
          <w:b/>
          <w:color w:val="287D97"/>
          <w:sz w:val="24"/>
        </w:rPr>
        <w:t>Step 4: Submit completed application form/s and attachments</w:t>
      </w:r>
    </w:p>
    <w:p w14:paraId="43FC41F9" w14:textId="3EC52EF8"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Form/s shall be submitted to the relevant contacts at the </w:t>
      </w:r>
      <w:r w:rsidR="00581FFD">
        <w:rPr>
          <w:rFonts w:ascii="Arial" w:eastAsia="Arial" w:hAnsi="Arial" w:cs="Arial"/>
          <w:color w:val="000000"/>
          <w:szCs w:val="20"/>
        </w:rPr>
        <w:t>Engineers</w:t>
      </w:r>
      <w:r>
        <w:rPr>
          <w:rFonts w:ascii="Arial" w:eastAsia="Arial" w:hAnsi="Arial" w:cs="Arial"/>
          <w:color w:val="000000"/>
          <w:szCs w:val="20"/>
        </w:rPr>
        <w:t xml:space="preserve"> department.</w:t>
      </w:r>
    </w:p>
    <w:p w14:paraId="43FC41FA" w14:textId="364D7915"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Attachments to the application include an initial design circuit diagram (for &gt;100kVA systems) and inverter </w:t>
      </w:r>
      <w:r w:rsidR="006F1717">
        <w:rPr>
          <w:rFonts w:ascii="Arial" w:eastAsia="Arial" w:hAnsi="Arial" w:cs="Arial"/>
          <w:color w:val="000000"/>
          <w:szCs w:val="20"/>
        </w:rPr>
        <w:t xml:space="preserve">NRS097-2-1 </w:t>
      </w:r>
      <w:r>
        <w:rPr>
          <w:rFonts w:ascii="Arial" w:eastAsia="Arial" w:hAnsi="Arial" w:cs="Arial"/>
          <w:color w:val="000000"/>
          <w:szCs w:val="20"/>
        </w:rPr>
        <w:t>certification.</w:t>
      </w:r>
    </w:p>
    <w:p w14:paraId="43FC41FB" w14:textId="77777777" w:rsidR="009045EB" w:rsidRDefault="009045EB">
      <w:pPr>
        <w:pBdr>
          <w:top w:val="nil"/>
          <w:left w:val="nil"/>
          <w:bottom w:val="nil"/>
          <w:right w:val="nil"/>
          <w:between w:val="nil"/>
        </w:pBdr>
        <w:ind w:left="1134" w:hanging="566"/>
        <w:jc w:val="both"/>
        <w:rPr>
          <w:rFonts w:ascii="Arial" w:eastAsia="Arial" w:hAnsi="Arial" w:cs="Arial"/>
          <w:color w:val="000000"/>
          <w:szCs w:val="20"/>
        </w:rPr>
      </w:pPr>
    </w:p>
    <w:p w14:paraId="43FC41FC" w14:textId="77777777" w:rsidR="009045EB" w:rsidRDefault="0072593A">
      <w:pPr>
        <w:numPr>
          <w:ilvl w:val="0"/>
          <w:numId w:val="13"/>
        </w:numPr>
        <w:pBdr>
          <w:top w:val="nil"/>
          <w:left w:val="nil"/>
          <w:bottom w:val="nil"/>
          <w:right w:val="nil"/>
          <w:between w:val="nil"/>
        </w:pBdr>
        <w:spacing w:before="120"/>
        <w:ind w:left="426" w:hanging="357"/>
        <w:jc w:val="both"/>
        <w:rPr>
          <w:rFonts w:ascii="Arial" w:eastAsia="Arial" w:hAnsi="Arial" w:cs="Arial"/>
          <w:b/>
          <w:color w:val="287D97"/>
          <w:sz w:val="24"/>
        </w:rPr>
      </w:pPr>
      <w:bookmarkStart w:id="80" w:name="_heading=h.2iq8gzs" w:colFirst="0" w:colLast="0"/>
      <w:bookmarkEnd w:id="80"/>
      <w:r>
        <w:rPr>
          <w:rFonts w:ascii="Arial" w:eastAsia="Arial" w:hAnsi="Arial" w:cs="Arial"/>
          <w:b/>
          <w:color w:val="287D97"/>
          <w:sz w:val="24"/>
        </w:rPr>
        <w:t>Step 5: Installation commencement upon approval from the municipality</w:t>
      </w:r>
    </w:p>
    <w:p w14:paraId="43FC41FD"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After due consideration of the application, the applicant will be informed in writing whether the application has been successful or not.</w:t>
      </w:r>
    </w:p>
    <w:p w14:paraId="43FC41FE"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If further information or grid studies are required by the municipality, the applicant will be notified thereof.</w:t>
      </w:r>
    </w:p>
    <w:p w14:paraId="43FC41FF"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Once notified in writing of a successful application, the applicant may commence installation (it is advised that the applicant does not pay for </w:t>
      </w:r>
      <w:r>
        <w:rPr>
          <w:rFonts w:ascii="Arial" w:eastAsia="Arial" w:hAnsi="Arial" w:cs="Arial"/>
          <w:color w:val="000000"/>
          <w:szCs w:val="20"/>
        </w:rPr>
        <w:lastRenderedPageBreak/>
        <w:t>any equipment until municipal approval to install is granted in writing, as such approval is not guaranteed).</w:t>
      </w:r>
    </w:p>
    <w:p w14:paraId="43FC4200" w14:textId="77777777" w:rsidR="009045EB" w:rsidRDefault="009045EB">
      <w:pPr>
        <w:pBdr>
          <w:top w:val="nil"/>
          <w:left w:val="nil"/>
          <w:bottom w:val="nil"/>
          <w:right w:val="nil"/>
          <w:between w:val="nil"/>
        </w:pBdr>
        <w:ind w:left="1134" w:hanging="566"/>
        <w:jc w:val="both"/>
        <w:rPr>
          <w:rFonts w:ascii="Arial" w:eastAsia="Arial" w:hAnsi="Arial" w:cs="Arial"/>
          <w:color w:val="000000"/>
          <w:szCs w:val="20"/>
        </w:rPr>
      </w:pPr>
    </w:p>
    <w:p w14:paraId="43FC4201" w14:textId="77777777" w:rsidR="009045EB" w:rsidRDefault="0072593A">
      <w:pPr>
        <w:numPr>
          <w:ilvl w:val="0"/>
          <w:numId w:val="13"/>
        </w:numPr>
        <w:pBdr>
          <w:top w:val="nil"/>
          <w:left w:val="nil"/>
          <w:bottom w:val="nil"/>
          <w:right w:val="nil"/>
          <w:between w:val="nil"/>
        </w:pBdr>
        <w:spacing w:before="120"/>
        <w:ind w:left="426" w:hanging="357"/>
        <w:rPr>
          <w:rFonts w:ascii="Arial" w:eastAsia="Arial" w:hAnsi="Arial" w:cs="Arial"/>
          <w:b/>
          <w:color w:val="287D97"/>
          <w:sz w:val="24"/>
        </w:rPr>
      </w:pPr>
      <w:bookmarkStart w:id="81" w:name="_heading=h.xvir7l" w:colFirst="0" w:colLast="0"/>
      <w:bookmarkEnd w:id="81"/>
      <w:r>
        <w:rPr>
          <w:rFonts w:ascii="Arial" w:eastAsia="Arial" w:hAnsi="Arial" w:cs="Arial"/>
          <w:b/>
          <w:color w:val="287D97"/>
          <w:sz w:val="24"/>
        </w:rPr>
        <w:t>Step 6: Commissioning and documentation to be submitted to the electricity department.</w:t>
      </w:r>
    </w:p>
    <w:p w14:paraId="43FC4202"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Once installation is complete, commissioning of the SSEG installation shall be undertaken by a competent person, who shall complete and sign off the SSEG Installation Commissioning Report. </w:t>
      </w:r>
    </w:p>
    <w:p w14:paraId="43FC4203"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In addition to the SEG Installation Commissioning Report, there is a list of other documentation specified on the Commissioning Report for submission with the Report, including: </w:t>
      </w:r>
    </w:p>
    <w:p w14:paraId="43FC4204"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        Final as-built circuit diagram </w:t>
      </w:r>
    </w:p>
    <w:p w14:paraId="43FC4205"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        Inverter type test certificate according to NRS 097-2-1.</w:t>
      </w:r>
    </w:p>
    <w:p w14:paraId="43FC4206"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        An electrical installation Certificate of Compliance as per SANS 10142-1 (and SANS 10142-1-2 when published). </w:t>
      </w:r>
    </w:p>
    <w:p w14:paraId="43FC4207"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All completed documentation shall be submitted to the relevant electricity department office.</w:t>
      </w:r>
    </w:p>
    <w:p w14:paraId="43FC4208" w14:textId="77777777" w:rsidR="009045EB" w:rsidRDefault="009045EB">
      <w:pPr>
        <w:pBdr>
          <w:top w:val="nil"/>
          <w:left w:val="nil"/>
          <w:bottom w:val="nil"/>
          <w:right w:val="nil"/>
          <w:between w:val="nil"/>
        </w:pBdr>
        <w:ind w:left="1701" w:hanging="566"/>
        <w:jc w:val="both"/>
        <w:rPr>
          <w:rFonts w:ascii="Arial" w:eastAsia="Arial" w:hAnsi="Arial" w:cs="Arial"/>
          <w:color w:val="000000"/>
          <w:szCs w:val="20"/>
        </w:rPr>
      </w:pPr>
    </w:p>
    <w:p w14:paraId="43FC4209" w14:textId="77777777" w:rsidR="009045EB" w:rsidRDefault="0072593A">
      <w:pPr>
        <w:numPr>
          <w:ilvl w:val="0"/>
          <w:numId w:val="13"/>
        </w:numPr>
        <w:pBdr>
          <w:top w:val="nil"/>
          <w:left w:val="nil"/>
          <w:bottom w:val="nil"/>
          <w:right w:val="nil"/>
          <w:between w:val="nil"/>
        </w:pBdr>
        <w:spacing w:before="120"/>
        <w:ind w:left="426" w:hanging="357"/>
        <w:jc w:val="both"/>
        <w:rPr>
          <w:rFonts w:ascii="Arial" w:eastAsia="Arial" w:hAnsi="Arial" w:cs="Arial"/>
          <w:b/>
          <w:color w:val="287D97"/>
          <w:sz w:val="24"/>
        </w:rPr>
      </w:pPr>
      <w:bookmarkStart w:id="82" w:name="_heading=h.3hv69ve" w:colFirst="0" w:colLast="0"/>
      <w:bookmarkEnd w:id="82"/>
      <w:r>
        <w:rPr>
          <w:rFonts w:ascii="Arial" w:eastAsia="Arial" w:hAnsi="Arial" w:cs="Arial"/>
          <w:b/>
          <w:color w:val="287D97"/>
          <w:sz w:val="24"/>
        </w:rPr>
        <w:t>Step 7: Inspection of installation if necessary</w:t>
      </w:r>
    </w:p>
    <w:p w14:paraId="43FC420A"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The Municipality shall inspect the SSEG installation if they deem it necessary, although this is unlikely in the case of a residential application.</w:t>
      </w:r>
    </w:p>
    <w:p w14:paraId="43FC420B" w14:textId="77777777" w:rsidR="009045EB" w:rsidRDefault="009045EB">
      <w:pPr>
        <w:pBdr>
          <w:top w:val="nil"/>
          <w:left w:val="nil"/>
          <w:bottom w:val="nil"/>
          <w:right w:val="nil"/>
          <w:between w:val="nil"/>
        </w:pBdr>
        <w:ind w:left="1134" w:hanging="566"/>
        <w:jc w:val="both"/>
        <w:rPr>
          <w:rFonts w:ascii="Arial" w:eastAsia="Arial" w:hAnsi="Arial" w:cs="Arial"/>
          <w:color w:val="000000"/>
          <w:szCs w:val="20"/>
        </w:rPr>
      </w:pPr>
    </w:p>
    <w:p w14:paraId="43FC420C" w14:textId="77777777" w:rsidR="009045EB" w:rsidRDefault="0072593A">
      <w:pPr>
        <w:numPr>
          <w:ilvl w:val="0"/>
          <w:numId w:val="13"/>
        </w:numPr>
        <w:pBdr>
          <w:top w:val="nil"/>
          <w:left w:val="nil"/>
          <w:bottom w:val="nil"/>
          <w:right w:val="nil"/>
          <w:between w:val="nil"/>
        </w:pBdr>
        <w:spacing w:before="120"/>
        <w:ind w:left="426" w:hanging="357"/>
        <w:rPr>
          <w:rFonts w:ascii="Arial" w:eastAsia="Arial" w:hAnsi="Arial" w:cs="Arial"/>
          <w:b/>
          <w:color w:val="287D97"/>
          <w:sz w:val="24"/>
        </w:rPr>
      </w:pPr>
      <w:bookmarkStart w:id="83" w:name="_heading=h.1x0gk37" w:colFirst="0" w:colLast="0"/>
      <w:bookmarkEnd w:id="83"/>
      <w:r>
        <w:rPr>
          <w:rFonts w:ascii="Arial" w:eastAsia="Arial" w:hAnsi="Arial" w:cs="Arial"/>
          <w:b/>
          <w:color w:val="287D97"/>
          <w:sz w:val="24"/>
        </w:rPr>
        <w:t>Step 8: Approval granted to connect to the municipal electrical network and generation commences</w:t>
      </w:r>
    </w:p>
    <w:p w14:paraId="43FC420D"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If all of the above is satisfactory, the Municipality shall install the necessary meter, or check that such is installed. </w:t>
      </w:r>
    </w:p>
    <w:p w14:paraId="43FC420E" w14:textId="145E90FA"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Approval to connect the SSEG installation to the municipal electrical network shal</w:t>
      </w:r>
      <w:r w:rsidR="00581FFD">
        <w:rPr>
          <w:rFonts w:ascii="Arial" w:eastAsia="Arial" w:hAnsi="Arial" w:cs="Arial"/>
          <w:color w:val="000000"/>
          <w:szCs w:val="20"/>
        </w:rPr>
        <w:t>l be provided by the Engineers</w:t>
      </w:r>
      <w:r>
        <w:rPr>
          <w:rFonts w:ascii="Arial" w:eastAsia="Arial" w:hAnsi="Arial" w:cs="Arial"/>
          <w:color w:val="000000"/>
          <w:szCs w:val="20"/>
        </w:rPr>
        <w:t xml:space="preserve"> department to the customer, in writing, together with any operation and other requirements deemed necessary. </w:t>
      </w:r>
    </w:p>
    <w:p w14:paraId="43FC420F"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 xml:space="preserve">Once this is done, the change to the SSEG tariff shall be implemented if applicable. </w:t>
      </w:r>
    </w:p>
    <w:p w14:paraId="43FC4210" w14:textId="77777777" w:rsidR="009045EB" w:rsidRDefault="009045EB">
      <w:pPr>
        <w:pBdr>
          <w:top w:val="nil"/>
          <w:left w:val="nil"/>
          <w:bottom w:val="nil"/>
          <w:right w:val="nil"/>
          <w:between w:val="nil"/>
        </w:pBdr>
        <w:ind w:left="426" w:hanging="566"/>
        <w:jc w:val="both"/>
        <w:rPr>
          <w:rFonts w:ascii="Arial" w:eastAsia="Arial" w:hAnsi="Arial" w:cs="Arial"/>
          <w:color w:val="000000"/>
          <w:szCs w:val="20"/>
        </w:rPr>
      </w:pPr>
    </w:p>
    <w:p w14:paraId="43FC4211" w14:textId="77777777" w:rsidR="009045EB" w:rsidRDefault="0072593A">
      <w:pPr>
        <w:pStyle w:val="Heading1"/>
        <w:numPr>
          <w:ilvl w:val="0"/>
          <w:numId w:val="12"/>
        </w:numPr>
        <w:rPr>
          <w:rFonts w:ascii="Arial" w:eastAsia="Arial" w:hAnsi="Arial" w:cs="Arial"/>
        </w:rPr>
      </w:pPr>
      <w:bookmarkStart w:id="84" w:name="_Toc128033266"/>
      <w:r>
        <w:rPr>
          <w:rFonts w:ascii="Arial" w:eastAsia="Arial" w:hAnsi="Arial" w:cs="Arial"/>
        </w:rPr>
        <w:t>Changes to existing approved systems</w:t>
      </w:r>
      <w:bookmarkEnd w:id="84"/>
    </w:p>
    <w:p w14:paraId="43FC4212" w14:textId="77777777" w:rsidR="009045EB" w:rsidRDefault="0072593A">
      <w:pPr>
        <w:pBdr>
          <w:top w:val="nil"/>
          <w:left w:val="nil"/>
          <w:bottom w:val="nil"/>
          <w:right w:val="nil"/>
          <w:between w:val="nil"/>
        </w:pBdr>
        <w:ind w:left="426" w:hanging="566"/>
        <w:jc w:val="both"/>
        <w:rPr>
          <w:rFonts w:ascii="Arial" w:eastAsia="Arial" w:hAnsi="Arial" w:cs="Arial"/>
          <w:color w:val="000000"/>
          <w:szCs w:val="20"/>
        </w:rPr>
      </w:pPr>
      <w:r>
        <w:rPr>
          <w:rFonts w:ascii="Arial" w:eastAsia="Arial" w:hAnsi="Arial" w:cs="Arial"/>
          <w:color w:val="000000"/>
          <w:szCs w:val="20"/>
        </w:rPr>
        <w:t>SSEG installations that have previously been approved by the municipality but where changes to the SSEG are planned, will require the following:</w:t>
      </w:r>
    </w:p>
    <w:p w14:paraId="43FC4213" w14:textId="77777777" w:rsidR="009045EB" w:rsidRDefault="009045EB">
      <w:pPr>
        <w:pBdr>
          <w:top w:val="nil"/>
          <w:left w:val="nil"/>
          <w:bottom w:val="nil"/>
          <w:right w:val="nil"/>
          <w:between w:val="nil"/>
        </w:pBdr>
        <w:ind w:left="426" w:hanging="566"/>
        <w:jc w:val="both"/>
        <w:rPr>
          <w:rFonts w:ascii="Arial" w:eastAsia="Arial" w:hAnsi="Arial" w:cs="Arial"/>
          <w:color w:val="000000"/>
          <w:szCs w:val="20"/>
        </w:rPr>
      </w:pPr>
    </w:p>
    <w:p w14:paraId="43FC4214" w14:textId="77777777" w:rsidR="009045EB" w:rsidRDefault="0072593A">
      <w:pPr>
        <w:pBdr>
          <w:top w:val="nil"/>
          <w:left w:val="nil"/>
          <w:bottom w:val="nil"/>
          <w:right w:val="nil"/>
          <w:between w:val="nil"/>
        </w:pBdr>
        <w:ind w:left="426" w:hanging="566"/>
        <w:jc w:val="both"/>
        <w:rPr>
          <w:rFonts w:ascii="Arial" w:eastAsia="Arial" w:hAnsi="Arial" w:cs="Arial"/>
          <w:b/>
          <w:color w:val="000000"/>
          <w:szCs w:val="20"/>
        </w:rPr>
      </w:pPr>
      <w:r>
        <w:rPr>
          <w:rFonts w:ascii="Arial" w:eastAsia="Arial" w:hAnsi="Arial" w:cs="Arial"/>
          <w:b/>
          <w:color w:val="000000"/>
          <w:szCs w:val="20"/>
        </w:rPr>
        <w:t>A new application shall be completed when the following is intended:</w:t>
      </w:r>
    </w:p>
    <w:p w14:paraId="43FC4215" w14:textId="77777777"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An expansion in the SSEG capacity</w:t>
      </w:r>
    </w:p>
    <w:p w14:paraId="43FC4216" w14:textId="4FEBCE36"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A change in the SSEG configuration (e.g. adding storage)</w:t>
      </w:r>
    </w:p>
    <w:p w14:paraId="43FC4217" w14:textId="77777777" w:rsidR="009045EB" w:rsidRDefault="0072593A">
      <w:pPr>
        <w:pBdr>
          <w:top w:val="nil"/>
          <w:left w:val="nil"/>
          <w:bottom w:val="nil"/>
          <w:right w:val="nil"/>
          <w:between w:val="nil"/>
        </w:pBdr>
        <w:ind w:left="426" w:hanging="566"/>
        <w:jc w:val="both"/>
        <w:rPr>
          <w:rFonts w:ascii="Arial" w:eastAsia="Arial" w:hAnsi="Arial" w:cs="Arial"/>
          <w:b/>
          <w:color w:val="000000"/>
          <w:szCs w:val="20"/>
        </w:rPr>
      </w:pPr>
      <w:r>
        <w:rPr>
          <w:rFonts w:ascii="Arial" w:eastAsia="Arial" w:hAnsi="Arial" w:cs="Arial"/>
          <w:b/>
          <w:color w:val="000000"/>
          <w:szCs w:val="20"/>
        </w:rPr>
        <w:t>A new commissioning process needs to be undertaken, and a new Commissioning Report completed, when the following changes are made:</w:t>
      </w:r>
    </w:p>
    <w:p w14:paraId="43FC4218" w14:textId="31496C69"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t>Significant components are replaced (i.e. inverter, anti-island device, other protection equipment) but system capacity is not increased</w:t>
      </w:r>
    </w:p>
    <w:p w14:paraId="43FC4219" w14:textId="1D5733AE" w:rsidR="009045EB" w:rsidRDefault="0072593A">
      <w:pPr>
        <w:numPr>
          <w:ilvl w:val="1"/>
          <w:numId w:val="13"/>
        </w:numPr>
        <w:pBdr>
          <w:top w:val="nil"/>
          <w:left w:val="nil"/>
          <w:bottom w:val="nil"/>
          <w:right w:val="nil"/>
          <w:between w:val="nil"/>
        </w:pBdr>
        <w:ind w:hanging="566"/>
        <w:jc w:val="both"/>
      </w:pPr>
      <w:r>
        <w:rPr>
          <w:rFonts w:ascii="Arial" w:eastAsia="Arial" w:hAnsi="Arial" w:cs="Arial"/>
          <w:color w:val="000000"/>
          <w:szCs w:val="20"/>
        </w:rPr>
        <w:lastRenderedPageBreak/>
        <w:t xml:space="preserve">A system is moved but no changes to capacity or significant components are made (i.e. inverter, anti-island device, </w:t>
      </w:r>
      <w:r w:rsidR="00F704FE">
        <w:rPr>
          <w:rFonts w:ascii="Arial" w:eastAsia="Arial" w:hAnsi="Arial" w:cs="Arial"/>
          <w:color w:val="000000"/>
          <w:szCs w:val="20"/>
        </w:rPr>
        <w:t xml:space="preserve">and </w:t>
      </w:r>
      <w:r>
        <w:rPr>
          <w:rFonts w:ascii="Arial" w:eastAsia="Arial" w:hAnsi="Arial" w:cs="Arial"/>
          <w:color w:val="000000"/>
          <w:szCs w:val="20"/>
        </w:rPr>
        <w:t>other protection equipment all stay the same)</w:t>
      </w:r>
    </w:p>
    <w:p w14:paraId="43FC421A" w14:textId="77777777" w:rsidR="009045EB" w:rsidRDefault="009045EB">
      <w:pPr>
        <w:pBdr>
          <w:top w:val="nil"/>
          <w:left w:val="nil"/>
          <w:bottom w:val="nil"/>
          <w:right w:val="nil"/>
          <w:between w:val="nil"/>
        </w:pBdr>
        <w:spacing w:before="120"/>
        <w:ind w:left="1440" w:hanging="360"/>
        <w:rPr>
          <w:rFonts w:ascii="Arial" w:eastAsia="Arial" w:hAnsi="Arial" w:cs="Arial"/>
          <w:color w:val="000000"/>
          <w:szCs w:val="20"/>
        </w:rPr>
      </w:pPr>
    </w:p>
    <w:p w14:paraId="43FC421B" w14:textId="77777777" w:rsidR="009045EB" w:rsidRDefault="009045EB">
      <w:pPr>
        <w:pBdr>
          <w:top w:val="single" w:sz="4" w:space="1" w:color="000000"/>
          <w:left w:val="nil"/>
          <w:bottom w:val="nil"/>
          <w:right w:val="nil"/>
          <w:between w:val="nil"/>
        </w:pBdr>
        <w:ind w:left="1440" w:hanging="360"/>
        <w:rPr>
          <w:rFonts w:ascii="Arial" w:eastAsia="Arial" w:hAnsi="Arial" w:cs="Arial"/>
          <w:color w:val="000000"/>
          <w:szCs w:val="20"/>
        </w:rPr>
      </w:pPr>
    </w:p>
    <w:p w14:paraId="43FC421C" w14:textId="77777777" w:rsidR="009045EB" w:rsidRDefault="009045EB">
      <w:pPr>
        <w:pBdr>
          <w:top w:val="single" w:sz="4" w:space="1" w:color="000000"/>
          <w:left w:val="nil"/>
          <w:bottom w:val="nil"/>
          <w:right w:val="nil"/>
          <w:between w:val="nil"/>
        </w:pBdr>
        <w:ind w:left="1440" w:hanging="360"/>
        <w:rPr>
          <w:rFonts w:ascii="Arial" w:eastAsia="Arial" w:hAnsi="Arial" w:cs="Arial"/>
          <w:color w:val="000000"/>
          <w:szCs w:val="20"/>
        </w:rPr>
      </w:pPr>
    </w:p>
    <w:p w14:paraId="43FC421D" w14:textId="77777777" w:rsidR="009045EB" w:rsidRDefault="0072593A">
      <w:pPr>
        <w:spacing w:line="276" w:lineRule="auto"/>
        <w:rPr>
          <w:rFonts w:ascii="Arial" w:eastAsia="Arial" w:hAnsi="Arial" w:cs="Arial"/>
        </w:rPr>
      </w:pPr>
      <w:r>
        <w:br w:type="page"/>
      </w:r>
    </w:p>
    <w:p w14:paraId="43FC421E" w14:textId="77777777" w:rsidR="009045EB" w:rsidRDefault="0072593A">
      <w:pPr>
        <w:pStyle w:val="Heading1"/>
        <w:numPr>
          <w:ilvl w:val="0"/>
          <w:numId w:val="12"/>
        </w:numPr>
        <w:rPr>
          <w:rFonts w:ascii="Arial" w:eastAsia="Arial" w:hAnsi="Arial" w:cs="Arial"/>
          <w:color w:val="1E2B44"/>
        </w:rPr>
      </w:pPr>
      <w:bookmarkStart w:id="85" w:name="_Toc128033267"/>
      <w:r>
        <w:rPr>
          <w:rFonts w:ascii="Arial" w:eastAsia="Arial" w:hAnsi="Arial" w:cs="Arial"/>
          <w:color w:val="1E2B44"/>
        </w:rPr>
        <w:lastRenderedPageBreak/>
        <w:t>ANNEX A: Grid Impact Study Overview</w:t>
      </w:r>
      <w:bookmarkEnd w:id="85"/>
    </w:p>
    <w:p w14:paraId="43FC421F"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In cases where an SSEG or larger EG application falls outside the simplified connection criteria in NRS097-2-3, it may be necessary to conduct grid impact studies. These studies will assess whether the grid or electrical network remains within prescribed technical limits</w:t>
      </w:r>
      <w:r>
        <w:rPr>
          <w:rFonts w:ascii="Arial" w:eastAsia="Arial" w:hAnsi="Arial" w:cs="Arial"/>
          <w:color w:val="000000"/>
          <w:szCs w:val="20"/>
          <w:vertAlign w:val="superscript"/>
        </w:rPr>
        <w:footnoteReference w:id="7"/>
      </w:r>
      <w:r>
        <w:rPr>
          <w:rFonts w:ascii="Arial" w:eastAsia="Arial" w:hAnsi="Arial" w:cs="Arial"/>
          <w:color w:val="000000"/>
          <w:szCs w:val="20"/>
        </w:rPr>
        <w:t xml:space="preserve"> after the connection of the SSEG. The municipality will provide specific requirements in this regard.  Some general information is below.</w:t>
      </w:r>
    </w:p>
    <w:p w14:paraId="43FC4220" w14:textId="77777777" w:rsidR="009045EB" w:rsidRDefault="0072593A">
      <w:pPr>
        <w:pStyle w:val="Heading2"/>
      </w:pPr>
      <w:bookmarkStart w:id="86" w:name="_heading=h.1baon6m" w:colFirst="0" w:colLast="0"/>
      <w:bookmarkStart w:id="87" w:name="_Toc128033268"/>
      <w:bookmarkEnd w:id="86"/>
      <w:r>
        <w:t>General grid impact studies</w:t>
      </w:r>
      <w:bookmarkEnd w:id="87"/>
    </w:p>
    <w:p w14:paraId="43FC4221" w14:textId="629693F0"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For most SSEG systems connecting to LV networks grid impact studies can be relatively simply undertaken – often with only hand calculations - and do not require detailed grid simulation.  They can thus be undertaken without power system simulation software. More detailed guidelines on assessing such impacts can be found in </w:t>
      </w:r>
      <w:hyperlink r:id="rId43">
        <w:r>
          <w:rPr>
            <w:rFonts w:ascii="Arial" w:eastAsia="Arial" w:hAnsi="Arial" w:cs="Arial"/>
            <w:color w:val="6B9F25"/>
            <w:szCs w:val="20"/>
            <w:u w:val="single"/>
          </w:rPr>
          <w:t>Recommended practice for assessing the connection of small generators based on renewable energy sources to low-voltage and medium-voltage municipal grids</w:t>
        </w:r>
      </w:hyperlink>
      <w:r>
        <w:rPr>
          <w:rFonts w:ascii="Arial" w:eastAsia="Arial" w:hAnsi="Arial" w:cs="Arial"/>
          <w:color w:val="000000"/>
          <w:szCs w:val="20"/>
        </w:rPr>
        <w:t xml:space="preserve"> (Moeller &amp; Poeller Engineering, May 2018 – Final Draft).</w:t>
      </w:r>
    </w:p>
    <w:p w14:paraId="43FC4222" w14:textId="77777777" w:rsidR="009045EB" w:rsidRDefault="0072593A">
      <w:pPr>
        <w:pStyle w:val="Heading2"/>
      </w:pPr>
      <w:bookmarkStart w:id="88" w:name="_heading=h.3vac5uf" w:colFirst="0" w:colLast="0"/>
      <w:bookmarkStart w:id="89" w:name="_Toc128033269"/>
      <w:bookmarkEnd w:id="88"/>
      <w:r>
        <w:t>Requirements for more complex Grid Impact Studies</w:t>
      </w:r>
      <w:bookmarkEnd w:id="89"/>
    </w:p>
    <w:p w14:paraId="43FC4223"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Where more complicated grid impact studies are required, power system simulation may need to be undertaken using appropriate software.</w:t>
      </w:r>
    </w:p>
    <w:p w14:paraId="43FC4224"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225"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municipality will be required to utilise their geographic and operational knowledge of the network to determine the areas that could potentially be affected by the SSEG. In order to conduct the studies, the municipality will need to have a representative model of the network affected in the format required by the simulation software tool.</w:t>
      </w:r>
    </w:p>
    <w:p w14:paraId="43FC4226"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227" w14:textId="552AF238" w:rsidR="009045EB" w:rsidRDefault="0072593A">
      <w:pPr>
        <w:pBdr>
          <w:top w:val="nil"/>
          <w:left w:val="nil"/>
          <w:bottom w:val="nil"/>
          <w:right w:val="nil"/>
          <w:between w:val="nil"/>
        </w:pBdr>
        <w:spacing w:before="120" w:after="120"/>
        <w:ind w:left="357" w:hanging="357"/>
        <w:rPr>
          <w:rFonts w:ascii="Arial" w:eastAsia="Arial" w:hAnsi="Arial" w:cs="Arial"/>
          <w:i/>
          <w:color w:val="75B5E4"/>
          <w:szCs w:val="20"/>
        </w:rPr>
      </w:pPr>
      <w:bookmarkStart w:id="90" w:name="_heading=h.2afmg28" w:colFirst="0" w:colLast="0"/>
      <w:bookmarkEnd w:id="90"/>
      <w:r>
        <w:rPr>
          <w:rFonts w:ascii="Arial" w:eastAsia="Arial" w:hAnsi="Arial" w:cs="Arial"/>
          <w:i/>
          <w:color w:val="75B5E4"/>
          <w:szCs w:val="20"/>
        </w:rPr>
        <w:t xml:space="preserve">Table </w:t>
      </w:r>
      <w:r w:rsidR="00FE3AD2">
        <w:rPr>
          <w:rFonts w:ascii="Arial" w:eastAsia="Arial" w:hAnsi="Arial" w:cs="Arial"/>
          <w:i/>
          <w:color w:val="75B5E4"/>
          <w:szCs w:val="20"/>
        </w:rPr>
        <w:t>5</w:t>
      </w:r>
      <w:r>
        <w:rPr>
          <w:rFonts w:ascii="Arial" w:eastAsia="Arial" w:hAnsi="Arial" w:cs="Arial"/>
          <w:i/>
          <w:color w:val="75B5E4"/>
          <w:szCs w:val="20"/>
        </w:rPr>
        <w:t xml:space="preserve">: Grid impact studies to be conducted </w:t>
      </w:r>
    </w:p>
    <w:tbl>
      <w:tblPr>
        <w:tblStyle w:val="ab"/>
        <w:tblW w:w="9067" w:type="dxa"/>
        <w:tblBorders>
          <w:top w:val="single" w:sz="4" w:space="0" w:color="666666"/>
          <w:left w:val="single" w:sz="4" w:space="0" w:color="666666"/>
          <w:bottom w:val="single" w:sz="4" w:space="0" w:color="666666"/>
          <w:right w:val="single" w:sz="4" w:space="0" w:color="666666"/>
          <w:insideH w:val="single" w:sz="4" w:space="0" w:color="FFFFFF"/>
          <w:insideV w:val="single" w:sz="4" w:space="0" w:color="666666"/>
        </w:tblBorders>
        <w:tblLayout w:type="fixed"/>
        <w:tblLook w:val="04A0" w:firstRow="1" w:lastRow="0" w:firstColumn="1" w:lastColumn="0" w:noHBand="0" w:noVBand="1"/>
      </w:tblPr>
      <w:tblGrid>
        <w:gridCol w:w="5778"/>
        <w:gridCol w:w="3289"/>
      </w:tblGrid>
      <w:tr w:rsidR="009045EB" w14:paraId="43FC422A" w14:textId="77777777" w:rsidTr="00904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262626"/>
          </w:tcPr>
          <w:p w14:paraId="43FC4228" w14:textId="77777777" w:rsidR="009045EB" w:rsidRDefault="0072593A">
            <w:pPr>
              <w:pBdr>
                <w:top w:val="nil"/>
                <w:left w:val="nil"/>
                <w:bottom w:val="nil"/>
                <w:right w:val="nil"/>
                <w:between w:val="nil"/>
              </w:pBdr>
              <w:spacing w:before="0" w:after="0" w:line="276" w:lineRule="auto"/>
              <w:jc w:val="both"/>
              <w:rPr>
                <w:rFonts w:eastAsia="Arial" w:cs="Arial"/>
                <w:color w:val="000000"/>
                <w:sz w:val="20"/>
                <w:szCs w:val="20"/>
              </w:rPr>
            </w:pPr>
            <w:r>
              <w:rPr>
                <w:rFonts w:eastAsia="Arial" w:cs="Arial"/>
                <w:b w:val="0"/>
                <w:color w:val="000000"/>
                <w:sz w:val="20"/>
                <w:szCs w:val="20"/>
              </w:rPr>
              <w:t>Type of study</w:t>
            </w:r>
          </w:p>
        </w:tc>
        <w:tc>
          <w:tcPr>
            <w:tcW w:w="3289" w:type="dxa"/>
            <w:shd w:val="clear" w:color="auto" w:fill="262626"/>
          </w:tcPr>
          <w:p w14:paraId="43FC4229" w14:textId="77777777" w:rsidR="009045EB" w:rsidRDefault="0072593A">
            <w:pPr>
              <w:pBdr>
                <w:top w:val="nil"/>
                <w:left w:val="nil"/>
                <w:bottom w:val="nil"/>
                <w:right w:val="nil"/>
                <w:between w:val="nil"/>
              </w:pBdr>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eastAsia="Arial" w:cs="Arial"/>
                <w:color w:val="000000"/>
                <w:sz w:val="20"/>
                <w:szCs w:val="20"/>
              </w:rPr>
            </w:pPr>
            <w:r>
              <w:rPr>
                <w:rFonts w:eastAsia="Arial" w:cs="Arial"/>
                <w:b w:val="0"/>
                <w:color w:val="000000"/>
                <w:sz w:val="20"/>
                <w:szCs w:val="20"/>
              </w:rPr>
              <w:t>Notes</w:t>
            </w:r>
          </w:p>
        </w:tc>
      </w:tr>
      <w:tr w:rsidR="009045EB" w14:paraId="43FC4234" w14:textId="77777777" w:rsidTr="00904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D6EEF5"/>
          </w:tcPr>
          <w:p w14:paraId="43FC422B" w14:textId="77777777" w:rsidR="009045EB" w:rsidRDefault="0072593A">
            <w:pPr>
              <w:rPr>
                <w:rFonts w:eastAsia="Arial" w:cs="Arial"/>
              </w:rPr>
            </w:pPr>
            <w:r>
              <w:rPr>
                <w:rFonts w:eastAsia="Arial" w:cs="Arial"/>
              </w:rPr>
              <w:t>Loadflow</w:t>
            </w:r>
          </w:p>
          <w:p w14:paraId="43FC422C" w14:textId="77777777" w:rsidR="009045EB" w:rsidRDefault="0072593A">
            <w:pPr>
              <w:numPr>
                <w:ilvl w:val="0"/>
                <w:numId w:val="6"/>
              </w:numPr>
              <w:pBdr>
                <w:top w:val="nil"/>
                <w:left w:val="nil"/>
                <w:bottom w:val="nil"/>
                <w:right w:val="nil"/>
                <w:between w:val="nil"/>
              </w:pBdr>
              <w:spacing w:before="0" w:after="0" w:line="276" w:lineRule="auto"/>
              <w:rPr>
                <w:rFonts w:eastAsia="Arial" w:cs="Arial"/>
                <w:sz w:val="20"/>
                <w:szCs w:val="20"/>
              </w:rPr>
            </w:pPr>
            <w:bookmarkStart w:id="91" w:name="_heading=h.pkwqa1" w:colFirst="0" w:colLast="0"/>
            <w:bookmarkEnd w:id="91"/>
            <w:r>
              <w:rPr>
                <w:rFonts w:eastAsia="Arial" w:cs="Arial"/>
                <w:b w:val="0"/>
                <w:sz w:val="20"/>
                <w:szCs w:val="20"/>
              </w:rPr>
              <w:t>Voltage limits (regulation)</w:t>
            </w:r>
          </w:p>
          <w:p w14:paraId="43FC422D" w14:textId="77777777" w:rsidR="009045EB" w:rsidRDefault="0072593A">
            <w:pPr>
              <w:numPr>
                <w:ilvl w:val="0"/>
                <w:numId w:val="6"/>
              </w:numPr>
              <w:pBdr>
                <w:top w:val="nil"/>
                <w:left w:val="nil"/>
                <w:bottom w:val="nil"/>
                <w:right w:val="nil"/>
                <w:between w:val="nil"/>
              </w:pBdr>
              <w:spacing w:before="0" w:after="0" w:line="276" w:lineRule="auto"/>
              <w:jc w:val="both"/>
              <w:rPr>
                <w:rFonts w:eastAsia="Arial" w:cs="Arial"/>
                <w:sz w:val="20"/>
                <w:szCs w:val="20"/>
              </w:rPr>
            </w:pPr>
            <w:r>
              <w:rPr>
                <w:rFonts w:eastAsia="Arial" w:cs="Arial"/>
                <w:b w:val="0"/>
                <w:sz w:val="20"/>
                <w:szCs w:val="20"/>
              </w:rPr>
              <w:t>Thermal loadings</w:t>
            </w:r>
          </w:p>
        </w:tc>
        <w:tc>
          <w:tcPr>
            <w:tcW w:w="3289" w:type="dxa"/>
            <w:shd w:val="clear" w:color="auto" w:fill="D6EEF5"/>
          </w:tcPr>
          <w:p w14:paraId="43FC422E" w14:textId="77777777" w:rsidR="009045EB" w:rsidRDefault="0072593A">
            <w:pPr>
              <w:pBdr>
                <w:top w:val="nil"/>
                <w:left w:val="nil"/>
                <w:bottom w:val="nil"/>
                <w:right w:val="nil"/>
                <w:between w:val="nil"/>
              </w:pBd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To be undertaken for:</w:t>
            </w:r>
          </w:p>
          <w:p w14:paraId="43FC422F" w14:textId="77777777" w:rsidR="009045EB" w:rsidRDefault="0072593A">
            <w:pPr>
              <w:pBdr>
                <w:top w:val="nil"/>
                <w:left w:val="nil"/>
                <w:bottom w:val="nil"/>
                <w:right w:val="nil"/>
                <w:between w:val="nil"/>
              </w:pBd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 Peak load, max gen</w:t>
            </w:r>
          </w:p>
          <w:p w14:paraId="43FC4230" w14:textId="77777777" w:rsidR="009045EB" w:rsidRDefault="0072593A">
            <w:pPr>
              <w:pBdr>
                <w:top w:val="nil"/>
                <w:left w:val="nil"/>
                <w:bottom w:val="nil"/>
                <w:right w:val="nil"/>
                <w:between w:val="nil"/>
              </w:pBd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 Light load, max gen</w:t>
            </w:r>
          </w:p>
          <w:p w14:paraId="43FC4231" w14:textId="77777777" w:rsidR="009045EB" w:rsidRDefault="0072593A">
            <w:pPr>
              <w:pBdr>
                <w:top w:val="nil"/>
                <w:left w:val="nil"/>
                <w:bottom w:val="nil"/>
                <w:right w:val="nil"/>
                <w:between w:val="nil"/>
              </w:pBd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 Peak load, min gen</w:t>
            </w:r>
          </w:p>
          <w:p w14:paraId="43FC4232" w14:textId="77777777" w:rsidR="009045EB" w:rsidRDefault="0072593A">
            <w:pPr>
              <w:pBdr>
                <w:top w:val="nil"/>
                <w:left w:val="nil"/>
                <w:bottom w:val="nil"/>
                <w:right w:val="nil"/>
                <w:between w:val="nil"/>
              </w:pBd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 Light load, min gen</w:t>
            </w:r>
          </w:p>
          <w:p w14:paraId="43FC4233" w14:textId="77777777" w:rsidR="009045EB" w:rsidRDefault="009045EB">
            <w:pPr>
              <w:pBdr>
                <w:top w:val="nil"/>
                <w:left w:val="nil"/>
                <w:bottom w:val="nil"/>
                <w:right w:val="nil"/>
                <w:between w:val="nil"/>
              </w:pBd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9045EB" w14:paraId="43FC423B" w14:textId="77777777" w:rsidTr="009045EB">
        <w:tc>
          <w:tcPr>
            <w:cnfStyle w:val="001000000000" w:firstRow="0" w:lastRow="0" w:firstColumn="1" w:lastColumn="0" w:oddVBand="0" w:evenVBand="0" w:oddHBand="0" w:evenHBand="0" w:firstRowFirstColumn="0" w:firstRowLastColumn="0" w:lastRowFirstColumn="0" w:lastRowLastColumn="0"/>
            <w:tcW w:w="5778" w:type="dxa"/>
          </w:tcPr>
          <w:p w14:paraId="43FC4235" w14:textId="77777777" w:rsidR="009045EB" w:rsidRDefault="0072593A">
            <w:pPr>
              <w:rPr>
                <w:rFonts w:eastAsia="Arial" w:cs="Arial"/>
              </w:rPr>
            </w:pPr>
            <w:r>
              <w:rPr>
                <w:rFonts w:eastAsia="Arial" w:cs="Arial"/>
              </w:rPr>
              <w:t>Voltage changes</w:t>
            </w:r>
          </w:p>
          <w:p w14:paraId="43FC4236" w14:textId="77777777" w:rsidR="009045EB" w:rsidRDefault="0072593A">
            <w:pPr>
              <w:numPr>
                <w:ilvl w:val="0"/>
                <w:numId w:val="3"/>
              </w:numPr>
              <w:pBdr>
                <w:top w:val="nil"/>
                <w:left w:val="nil"/>
                <w:bottom w:val="nil"/>
                <w:right w:val="nil"/>
                <w:between w:val="nil"/>
              </w:pBdr>
              <w:spacing w:before="0" w:after="0" w:line="276" w:lineRule="auto"/>
              <w:jc w:val="both"/>
              <w:rPr>
                <w:rFonts w:eastAsia="Arial" w:cs="Arial"/>
                <w:sz w:val="20"/>
                <w:szCs w:val="20"/>
              </w:rPr>
            </w:pPr>
            <w:r>
              <w:rPr>
                <w:rFonts w:eastAsia="Arial" w:cs="Arial"/>
                <w:b w:val="0"/>
                <w:sz w:val="20"/>
                <w:szCs w:val="20"/>
              </w:rPr>
              <w:t>Generator rejection (combined impact of all embedded generation on that part of the network)</w:t>
            </w:r>
          </w:p>
        </w:tc>
        <w:tc>
          <w:tcPr>
            <w:tcW w:w="3289" w:type="dxa"/>
          </w:tcPr>
          <w:p w14:paraId="43FC4237" w14:textId="77777777" w:rsidR="009045EB" w:rsidRDefault="0072593A">
            <w:pPr>
              <w:pBdr>
                <w:top w:val="nil"/>
                <w:left w:val="nil"/>
                <w:bottom w:val="nil"/>
                <w:right w:val="nil"/>
                <w:between w:val="nil"/>
              </w:pBd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To be undertaken for:</w:t>
            </w:r>
          </w:p>
          <w:p w14:paraId="43FC4238" w14:textId="77777777" w:rsidR="009045EB" w:rsidRDefault="0072593A">
            <w:pPr>
              <w:pBdr>
                <w:top w:val="nil"/>
                <w:left w:val="nil"/>
                <w:bottom w:val="nil"/>
                <w:right w:val="nil"/>
                <w:between w:val="nil"/>
              </w:pBd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 Peak load, max gen</w:t>
            </w:r>
          </w:p>
          <w:p w14:paraId="43FC4239" w14:textId="77777777" w:rsidR="009045EB" w:rsidRDefault="0072593A">
            <w:pPr>
              <w:pBdr>
                <w:top w:val="nil"/>
                <w:left w:val="nil"/>
                <w:bottom w:val="nil"/>
                <w:right w:val="nil"/>
                <w:between w:val="nil"/>
              </w:pBd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 Light load, max gen</w:t>
            </w:r>
          </w:p>
          <w:p w14:paraId="43FC423A" w14:textId="77777777" w:rsidR="009045EB" w:rsidRDefault="009045EB">
            <w:pPr>
              <w:pBdr>
                <w:top w:val="nil"/>
                <w:left w:val="nil"/>
                <w:bottom w:val="nil"/>
                <w:right w:val="nil"/>
                <w:between w:val="nil"/>
              </w:pBd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tc>
      </w:tr>
      <w:tr w:rsidR="009045EB" w14:paraId="43FC423F" w14:textId="77777777" w:rsidTr="00904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D6EEF5"/>
          </w:tcPr>
          <w:p w14:paraId="43FC423C" w14:textId="77777777" w:rsidR="009045EB" w:rsidRDefault="0072593A">
            <w:pPr>
              <w:rPr>
                <w:rFonts w:eastAsia="Arial" w:cs="Arial"/>
              </w:rPr>
            </w:pPr>
            <w:r>
              <w:rPr>
                <w:rFonts w:eastAsia="Arial" w:cs="Arial"/>
              </w:rPr>
              <w:t>Short circuit studies</w:t>
            </w:r>
          </w:p>
          <w:p w14:paraId="43FC423D" w14:textId="77777777" w:rsidR="009045EB" w:rsidRDefault="0072593A">
            <w:pPr>
              <w:numPr>
                <w:ilvl w:val="0"/>
                <w:numId w:val="3"/>
              </w:numPr>
              <w:pBdr>
                <w:top w:val="nil"/>
                <w:left w:val="nil"/>
                <w:bottom w:val="nil"/>
                <w:right w:val="nil"/>
                <w:between w:val="nil"/>
              </w:pBdr>
              <w:spacing w:before="0" w:after="0" w:line="276" w:lineRule="auto"/>
              <w:jc w:val="both"/>
              <w:rPr>
                <w:rFonts w:eastAsia="Arial" w:cs="Arial"/>
                <w:sz w:val="20"/>
                <w:szCs w:val="20"/>
              </w:rPr>
            </w:pPr>
            <w:r>
              <w:rPr>
                <w:rFonts w:eastAsia="Arial" w:cs="Arial"/>
                <w:b w:val="0"/>
                <w:sz w:val="20"/>
                <w:szCs w:val="20"/>
              </w:rPr>
              <w:t>Equipment ratings</w:t>
            </w:r>
          </w:p>
        </w:tc>
        <w:tc>
          <w:tcPr>
            <w:tcW w:w="3289" w:type="dxa"/>
            <w:shd w:val="clear" w:color="auto" w:fill="D6EEF5"/>
          </w:tcPr>
          <w:p w14:paraId="43FC423E" w14:textId="77777777" w:rsidR="009045EB" w:rsidRDefault="009045EB">
            <w:pPr>
              <w:pBdr>
                <w:top w:val="nil"/>
                <w:left w:val="nil"/>
                <w:bottom w:val="nil"/>
                <w:right w:val="nil"/>
                <w:between w:val="nil"/>
              </w:pBd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9045EB" w14:paraId="43FC4243" w14:textId="77777777" w:rsidTr="009045EB">
        <w:tc>
          <w:tcPr>
            <w:cnfStyle w:val="001000000000" w:firstRow="0" w:lastRow="0" w:firstColumn="1" w:lastColumn="0" w:oddVBand="0" w:evenVBand="0" w:oddHBand="0" w:evenHBand="0" w:firstRowFirstColumn="0" w:firstRowLastColumn="0" w:lastRowFirstColumn="0" w:lastRowLastColumn="0"/>
            <w:tcW w:w="5778" w:type="dxa"/>
          </w:tcPr>
          <w:p w14:paraId="43FC4240" w14:textId="77777777" w:rsidR="009045EB" w:rsidRDefault="0072593A">
            <w:pPr>
              <w:rPr>
                <w:rFonts w:eastAsia="Arial" w:cs="Arial"/>
              </w:rPr>
            </w:pPr>
            <w:r>
              <w:rPr>
                <w:rFonts w:eastAsia="Arial" w:cs="Arial"/>
              </w:rPr>
              <w:t>Protection coordination</w:t>
            </w:r>
          </w:p>
          <w:p w14:paraId="43FC4241" w14:textId="77777777" w:rsidR="009045EB" w:rsidRDefault="009045EB">
            <w:pPr>
              <w:pBdr>
                <w:top w:val="nil"/>
                <w:left w:val="nil"/>
                <w:bottom w:val="nil"/>
                <w:right w:val="nil"/>
                <w:between w:val="nil"/>
              </w:pBdr>
              <w:spacing w:before="0" w:after="0" w:line="276" w:lineRule="auto"/>
              <w:jc w:val="both"/>
              <w:rPr>
                <w:rFonts w:eastAsia="Arial" w:cs="Arial"/>
                <w:sz w:val="20"/>
                <w:szCs w:val="20"/>
              </w:rPr>
            </w:pPr>
          </w:p>
        </w:tc>
        <w:tc>
          <w:tcPr>
            <w:tcW w:w="3289" w:type="dxa"/>
          </w:tcPr>
          <w:p w14:paraId="43FC4242" w14:textId="77777777" w:rsidR="009045EB" w:rsidRDefault="009045EB">
            <w:pPr>
              <w:pBdr>
                <w:top w:val="nil"/>
                <w:left w:val="nil"/>
                <w:bottom w:val="nil"/>
                <w:right w:val="nil"/>
                <w:between w:val="nil"/>
              </w:pBdr>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p>
        </w:tc>
      </w:tr>
    </w:tbl>
    <w:p w14:paraId="43FC4244"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lastRenderedPageBreak/>
        <w:t>N</w:t>
      </w:r>
      <w:r>
        <w:rPr>
          <w:rFonts w:ascii="Arial" w:eastAsia="Arial" w:hAnsi="Arial" w:cs="Arial"/>
          <w:color w:val="000000"/>
          <w:sz w:val="18"/>
          <w:szCs w:val="18"/>
        </w:rPr>
        <w:t>ote: where reverse feed will never take place (i.e. reverse feed blocking acceptable to the distributor is installed), only limited impact study may be required - covering voltage changes with load / generator rejection and voltage limits/regulation.</w:t>
      </w:r>
    </w:p>
    <w:p w14:paraId="43FC4245"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246" w14:textId="77777777" w:rsidR="009045EB" w:rsidRDefault="0072593A">
      <w:pPr>
        <w:pStyle w:val="Heading2"/>
      </w:pPr>
      <w:bookmarkStart w:id="92" w:name="_heading=h.39kk8xu" w:colFirst="0" w:colLast="0"/>
      <w:bookmarkStart w:id="93" w:name="_Toc128033270"/>
      <w:bookmarkEnd w:id="92"/>
      <w:r>
        <w:t>Grid Impact Study Specification Guide</w:t>
      </w:r>
      <w:bookmarkEnd w:id="93"/>
    </w:p>
    <w:p w14:paraId="43FC4247"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A grid impact study specification guide is available at the below link. This may be used by a municipal distributor to specify exactly what is required in such a study.  It provides a checklist of parameters to be examined as well as description of the data needs for a simulation study.</w:t>
      </w:r>
    </w:p>
    <w:p w14:paraId="43FC4248" w14:textId="7E5EAA5F" w:rsidR="009045EB" w:rsidRDefault="001A2FBB">
      <w:pPr>
        <w:pBdr>
          <w:top w:val="nil"/>
          <w:left w:val="nil"/>
          <w:bottom w:val="nil"/>
          <w:right w:val="nil"/>
          <w:between w:val="nil"/>
        </w:pBdr>
        <w:spacing w:line="276" w:lineRule="auto"/>
        <w:jc w:val="both"/>
        <w:rPr>
          <w:rFonts w:ascii="Arial" w:eastAsia="Arial" w:hAnsi="Arial" w:cs="Arial"/>
          <w:color w:val="2683C6"/>
          <w:szCs w:val="20"/>
        </w:rPr>
      </w:pPr>
      <w:hyperlink r:id="rId44">
        <w:r w:rsidR="0072593A">
          <w:rPr>
            <w:rFonts w:ascii="Arial" w:eastAsia="Arial" w:hAnsi="Arial" w:cs="Arial"/>
            <w:color w:val="2683C6"/>
            <w:szCs w:val="20"/>
            <w:u w:val="single"/>
          </w:rPr>
          <w:t>https://www.sseg.org.za/grid-impact-study-specification-guide/</w:t>
        </w:r>
      </w:hyperlink>
    </w:p>
    <w:p w14:paraId="43FC4249" w14:textId="77777777" w:rsidR="009045EB" w:rsidRDefault="0072593A">
      <w:pPr>
        <w:spacing w:line="276" w:lineRule="auto"/>
        <w:rPr>
          <w:rFonts w:ascii="Arial" w:eastAsia="Arial" w:hAnsi="Arial" w:cs="Arial"/>
          <w:color w:val="000000"/>
        </w:rPr>
      </w:pPr>
      <w:r>
        <w:br w:type="page"/>
      </w:r>
    </w:p>
    <w:p w14:paraId="43FC424A"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24B" w14:textId="77777777" w:rsidR="009045EB" w:rsidRDefault="0072593A">
      <w:pPr>
        <w:pStyle w:val="Heading1"/>
        <w:numPr>
          <w:ilvl w:val="0"/>
          <w:numId w:val="12"/>
        </w:numPr>
        <w:rPr>
          <w:rFonts w:ascii="Arial" w:eastAsia="Arial" w:hAnsi="Arial" w:cs="Arial"/>
          <w:color w:val="1E2B44"/>
        </w:rPr>
      </w:pPr>
      <w:bookmarkStart w:id="94" w:name="_Toc128033271"/>
      <w:r>
        <w:rPr>
          <w:rFonts w:ascii="Arial" w:eastAsia="Arial" w:hAnsi="Arial" w:cs="Arial"/>
          <w:color w:val="1E2B44"/>
        </w:rPr>
        <w:t>ANNEX B: New Owner/Account Holder Declaration</w:t>
      </w:r>
      <w:bookmarkEnd w:id="94"/>
    </w:p>
    <w:p w14:paraId="43FC424C" w14:textId="77777777" w:rsidR="009045EB" w:rsidRDefault="0072593A">
      <w:pPr>
        <w:pBdr>
          <w:top w:val="nil"/>
          <w:left w:val="nil"/>
          <w:bottom w:val="nil"/>
          <w:right w:val="nil"/>
          <w:between w:val="nil"/>
        </w:pBdr>
        <w:spacing w:line="276" w:lineRule="auto"/>
        <w:rPr>
          <w:rFonts w:ascii="Arial" w:eastAsia="Arial" w:hAnsi="Arial" w:cs="Arial"/>
          <w:color w:val="000000"/>
          <w:szCs w:val="20"/>
        </w:rPr>
      </w:pPr>
      <w:r>
        <w:rPr>
          <w:rFonts w:ascii="Arial" w:eastAsia="Arial" w:hAnsi="Arial" w:cs="Arial"/>
          <w:color w:val="000000"/>
          <w:szCs w:val="20"/>
        </w:rPr>
        <w:t>In the event of transfer of property and/or ownership, the below Declaration is to be signed by new owner / account holder:</w:t>
      </w:r>
    </w:p>
    <w:p w14:paraId="43FC424D" w14:textId="77777777" w:rsidR="009045EB" w:rsidRDefault="009045EB">
      <w:pPr>
        <w:pBdr>
          <w:top w:val="nil"/>
          <w:left w:val="nil"/>
          <w:bottom w:val="nil"/>
          <w:right w:val="nil"/>
          <w:between w:val="nil"/>
        </w:pBdr>
        <w:spacing w:line="276" w:lineRule="auto"/>
        <w:rPr>
          <w:rFonts w:ascii="Arial" w:eastAsia="Arial" w:hAnsi="Arial" w:cs="Arial"/>
          <w:color w:val="000000"/>
          <w:szCs w:val="20"/>
        </w:rPr>
      </w:pPr>
    </w:p>
    <w:tbl>
      <w:tblPr>
        <w:tblStyle w:val="ac"/>
        <w:tblW w:w="9243" w:type="dxa"/>
        <w:tblBorders>
          <w:top w:val="single" w:sz="4" w:space="0" w:color="666666"/>
          <w:left w:val="single" w:sz="4" w:space="0" w:color="666666"/>
          <w:bottom w:val="single" w:sz="4" w:space="0" w:color="666666"/>
          <w:right w:val="single" w:sz="4" w:space="0" w:color="666666"/>
          <w:insideH w:val="single" w:sz="4" w:space="0" w:color="FFFFFF"/>
          <w:insideV w:val="single" w:sz="4" w:space="0" w:color="666666"/>
        </w:tblBorders>
        <w:tblLayout w:type="fixed"/>
        <w:tblLook w:val="0400" w:firstRow="0" w:lastRow="0" w:firstColumn="0" w:lastColumn="0" w:noHBand="0" w:noVBand="1"/>
      </w:tblPr>
      <w:tblGrid>
        <w:gridCol w:w="2802"/>
        <w:gridCol w:w="2126"/>
        <w:gridCol w:w="1559"/>
        <w:gridCol w:w="1214"/>
        <w:gridCol w:w="1542"/>
      </w:tblGrid>
      <w:tr w:rsidR="009045EB" w14:paraId="43FC424F" w14:textId="77777777">
        <w:trPr>
          <w:trHeight w:val="230"/>
        </w:trPr>
        <w:tc>
          <w:tcPr>
            <w:tcW w:w="9243" w:type="dxa"/>
            <w:gridSpan w:val="5"/>
          </w:tcPr>
          <w:p w14:paraId="43FC424E" w14:textId="77777777" w:rsidR="009045EB" w:rsidRDefault="0072593A">
            <w:pPr>
              <w:pBdr>
                <w:top w:val="nil"/>
                <w:left w:val="nil"/>
                <w:bottom w:val="nil"/>
                <w:right w:val="nil"/>
                <w:between w:val="nil"/>
              </w:pBdr>
              <w:spacing w:before="0" w:after="0" w:line="276" w:lineRule="auto"/>
              <w:rPr>
                <w:rFonts w:eastAsia="Arial" w:cs="Arial"/>
                <w:sz w:val="20"/>
                <w:szCs w:val="20"/>
              </w:rPr>
            </w:pPr>
            <w:r>
              <w:rPr>
                <w:rFonts w:eastAsia="Arial" w:cs="Arial"/>
                <w:b/>
                <w:sz w:val="20"/>
                <w:szCs w:val="20"/>
              </w:rPr>
              <w:t>Declaration regarding the SSEG system located at:</w:t>
            </w:r>
          </w:p>
        </w:tc>
      </w:tr>
      <w:tr w:rsidR="009045EB" w14:paraId="43FC4252" w14:textId="77777777">
        <w:trPr>
          <w:trHeight w:val="230"/>
        </w:trPr>
        <w:tc>
          <w:tcPr>
            <w:tcW w:w="2802" w:type="dxa"/>
          </w:tcPr>
          <w:p w14:paraId="43FC4250"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Property Erf number:</w:t>
            </w:r>
          </w:p>
        </w:tc>
        <w:tc>
          <w:tcPr>
            <w:tcW w:w="6441" w:type="dxa"/>
            <w:gridSpan w:val="4"/>
          </w:tcPr>
          <w:p w14:paraId="43FC4251"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58" w14:textId="77777777">
        <w:trPr>
          <w:trHeight w:val="230"/>
        </w:trPr>
        <w:tc>
          <w:tcPr>
            <w:tcW w:w="2802" w:type="dxa"/>
          </w:tcPr>
          <w:p w14:paraId="43FC4253" w14:textId="77777777" w:rsidR="009045EB" w:rsidRDefault="0072593A">
            <w:pPr>
              <w:shd w:val="clear" w:color="auto" w:fill="FFFFFF"/>
              <w:rPr>
                <w:rFonts w:eastAsia="Arial" w:cs="Arial"/>
                <w:sz w:val="18"/>
                <w:szCs w:val="18"/>
              </w:rPr>
            </w:pPr>
            <w:r>
              <w:rPr>
                <w:rFonts w:eastAsia="Arial" w:cs="Arial"/>
                <w:sz w:val="18"/>
                <w:szCs w:val="18"/>
              </w:rPr>
              <w:t>Physical address:</w:t>
            </w:r>
          </w:p>
          <w:p w14:paraId="43FC4254" w14:textId="77777777" w:rsidR="009045EB" w:rsidRDefault="009045EB">
            <w:pPr>
              <w:pBdr>
                <w:top w:val="nil"/>
                <w:left w:val="nil"/>
                <w:bottom w:val="nil"/>
                <w:right w:val="nil"/>
                <w:between w:val="nil"/>
              </w:pBdr>
              <w:spacing w:before="0" w:after="0" w:line="276" w:lineRule="auto"/>
              <w:rPr>
                <w:rFonts w:eastAsia="Arial" w:cs="Arial"/>
                <w:sz w:val="18"/>
                <w:szCs w:val="18"/>
              </w:rPr>
            </w:pPr>
          </w:p>
        </w:tc>
        <w:tc>
          <w:tcPr>
            <w:tcW w:w="6441" w:type="dxa"/>
            <w:gridSpan w:val="4"/>
          </w:tcPr>
          <w:p w14:paraId="43FC4255" w14:textId="77777777" w:rsidR="009045EB" w:rsidRDefault="009045EB">
            <w:pPr>
              <w:pBdr>
                <w:top w:val="nil"/>
                <w:left w:val="nil"/>
                <w:bottom w:val="nil"/>
                <w:right w:val="nil"/>
                <w:between w:val="nil"/>
              </w:pBdr>
              <w:spacing w:before="0" w:after="0" w:line="276" w:lineRule="auto"/>
              <w:rPr>
                <w:rFonts w:eastAsia="Arial" w:cs="Arial"/>
                <w:sz w:val="18"/>
                <w:szCs w:val="18"/>
              </w:rPr>
            </w:pPr>
          </w:p>
          <w:p w14:paraId="43FC4256" w14:textId="77777777" w:rsidR="009045EB" w:rsidRDefault="009045EB">
            <w:pPr>
              <w:pBdr>
                <w:top w:val="nil"/>
                <w:left w:val="nil"/>
                <w:bottom w:val="nil"/>
                <w:right w:val="nil"/>
                <w:between w:val="nil"/>
              </w:pBdr>
              <w:spacing w:before="0" w:after="0" w:line="276" w:lineRule="auto"/>
              <w:rPr>
                <w:rFonts w:eastAsia="Arial" w:cs="Arial"/>
                <w:sz w:val="18"/>
                <w:szCs w:val="18"/>
              </w:rPr>
            </w:pPr>
          </w:p>
          <w:p w14:paraId="43FC4257"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5D" w14:textId="77777777">
        <w:trPr>
          <w:trHeight w:val="230"/>
        </w:trPr>
        <w:tc>
          <w:tcPr>
            <w:tcW w:w="2802" w:type="dxa"/>
          </w:tcPr>
          <w:p w14:paraId="43FC4259"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Township / Suburb / Farm</w:t>
            </w:r>
          </w:p>
        </w:tc>
        <w:tc>
          <w:tcPr>
            <w:tcW w:w="3685" w:type="dxa"/>
            <w:gridSpan w:val="2"/>
          </w:tcPr>
          <w:p w14:paraId="43FC425A" w14:textId="77777777" w:rsidR="009045EB" w:rsidRDefault="009045EB">
            <w:pPr>
              <w:pBdr>
                <w:top w:val="nil"/>
                <w:left w:val="nil"/>
                <w:bottom w:val="nil"/>
                <w:right w:val="nil"/>
                <w:between w:val="nil"/>
              </w:pBdr>
              <w:spacing w:before="0" w:after="0" w:line="276" w:lineRule="auto"/>
              <w:rPr>
                <w:rFonts w:eastAsia="Arial" w:cs="Arial"/>
                <w:sz w:val="18"/>
                <w:szCs w:val="18"/>
              </w:rPr>
            </w:pPr>
          </w:p>
        </w:tc>
        <w:tc>
          <w:tcPr>
            <w:tcW w:w="1214" w:type="dxa"/>
          </w:tcPr>
          <w:p w14:paraId="43FC425B"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Post code:</w:t>
            </w:r>
          </w:p>
        </w:tc>
        <w:tc>
          <w:tcPr>
            <w:tcW w:w="1542" w:type="dxa"/>
          </w:tcPr>
          <w:p w14:paraId="43FC425C"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6E" w14:textId="77777777">
        <w:trPr>
          <w:trHeight w:val="230"/>
        </w:trPr>
        <w:tc>
          <w:tcPr>
            <w:tcW w:w="2802" w:type="dxa"/>
            <w:vMerge w:val="restart"/>
          </w:tcPr>
          <w:p w14:paraId="43FC425E" w14:textId="77777777" w:rsidR="009045EB" w:rsidRDefault="0072593A">
            <w:pPr>
              <w:shd w:val="clear" w:color="auto" w:fill="FFFFFF"/>
              <w:rPr>
                <w:rFonts w:eastAsia="Arial" w:cs="Arial"/>
                <w:sz w:val="18"/>
                <w:szCs w:val="18"/>
              </w:rPr>
            </w:pPr>
            <w:r>
              <w:rPr>
                <w:rFonts w:eastAsia="Arial" w:cs="Arial"/>
                <w:sz w:val="18"/>
                <w:szCs w:val="18"/>
              </w:rPr>
              <w:t>Site GPS coordinates:</w:t>
            </w:r>
          </w:p>
        </w:tc>
        <w:tc>
          <w:tcPr>
            <w:tcW w:w="2126" w:type="dxa"/>
          </w:tcPr>
          <w:p w14:paraId="43FC425F"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Latitude (dd mm ss)</w:t>
            </w:r>
          </w:p>
        </w:tc>
        <w:tc>
          <w:tcPr>
            <w:tcW w:w="4315" w:type="dxa"/>
            <w:gridSpan w:val="3"/>
          </w:tcPr>
          <w:p w14:paraId="43FC4260" w14:textId="77777777" w:rsidR="009045EB" w:rsidRDefault="009045EB">
            <w:pPr>
              <w:widowControl w:val="0"/>
              <w:pBdr>
                <w:top w:val="nil"/>
                <w:left w:val="nil"/>
                <w:bottom w:val="nil"/>
                <w:right w:val="nil"/>
                <w:between w:val="nil"/>
              </w:pBdr>
              <w:spacing w:before="0" w:after="0" w:line="276" w:lineRule="auto"/>
              <w:rPr>
                <w:rFonts w:eastAsia="Arial" w:cs="Arial"/>
                <w:sz w:val="18"/>
                <w:szCs w:val="18"/>
              </w:rPr>
            </w:pPr>
          </w:p>
          <w:tbl>
            <w:tblPr>
              <w:tblStyle w:val="ad"/>
              <w:tblW w:w="4004" w:type="dxa"/>
              <w:tblBorders>
                <w:top w:val="single" w:sz="4" w:space="0" w:color="666666"/>
                <w:left w:val="single" w:sz="4" w:space="0" w:color="666666"/>
                <w:bottom w:val="single" w:sz="4" w:space="0" w:color="666666"/>
                <w:right w:val="single" w:sz="4" w:space="0" w:color="666666"/>
                <w:insideH w:val="single" w:sz="4" w:space="0" w:color="FFFFFF"/>
                <w:insideV w:val="single" w:sz="4" w:space="0" w:color="666666"/>
              </w:tblBorders>
              <w:tblLayout w:type="fixed"/>
              <w:tblLook w:val="04A0" w:firstRow="1" w:lastRow="0" w:firstColumn="1" w:lastColumn="0" w:noHBand="0" w:noVBand="1"/>
            </w:tblPr>
            <w:tblGrid>
              <w:gridCol w:w="378"/>
              <w:gridCol w:w="356"/>
              <w:gridCol w:w="356"/>
              <w:gridCol w:w="373"/>
              <w:gridCol w:w="357"/>
              <w:gridCol w:w="357"/>
              <w:gridCol w:w="369"/>
              <w:gridCol w:w="357"/>
              <w:gridCol w:w="357"/>
              <w:gridCol w:w="357"/>
              <w:gridCol w:w="387"/>
            </w:tblGrid>
            <w:tr w:rsidR="009045EB" w14:paraId="43FC426C" w14:textId="77777777" w:rsidTr="00904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dxa"/>
                </w:tcPr>
                <w:p w14:paraId="43FC4261" w14:textId="77777777" w:rsidR="009045EB" w:rsidRDefault="0072593A">
                  <w:pPr>
                    <w:shd w:val="clear" w:color="auto" w:fill="FFFFFF"/>
                    <w:rPr>
                      <w:rFonts w:eastAsia="Arial" w:cs="Arial"/>
                      <w:sz w:val="18"/>
                      <w:szCs w:val="18"/>
                    </w:rPr>
                  </w:pPr>
                  <w:r>
                    <w:rPr>
                      <w:rFonts w:eastAsia="Arial" w:cs="Arial"/>
                      <w:sz w:val="18"/>
                      <w:szCs w:val="18"/>
                    </w:rPr>
                    <w:t>S</w:t>
                  </w:r>
                </w:p>
              </w:tc>
              <w:tc>
                <w:tcPr>
                  <w:tcW w:w="356" w:type="dxa"/>
                </w:tcPr>
                <w:p w14:paraId="43FC4262"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56" w:type="dxa"/>
                </w:tcPr>
                <w:p w14:paraId="43FC4263"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73" w:type="dxa"/>
                </w:tcPr>
                <w:p w14:paraId="43FC4264" w14:textId="77777777" w:rsidR="009045EB" w:rsidRDefault="0072593A">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w:t>
                  </w:r>
                </w:p>
              </w:tc>
              <w:tc>
                <w:tcPr>
                  <w:tcW w:w="357" w:type="dxa"/>
                </w:tcPr>
                <w:p w14:paraId="43FC4265"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57" w:type="dxa"/>
                </w:tcPr>
                <w:p w14:paraId="43FC4266"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69" w:type="dxa"/>
                </w:tcPr>
                <w:p w14:paraId="43FC4267" w14:textId="77777777" w:rsidR="009045EB" w:rsidRDefault="0072593A">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w:t>
                  </w:r>
                </w:p>
              </w:tc>
              <w:tc>
                <w:tcPr>
                  <w:tcW w:w="357" w:type="dxa"/>
                </w:tcPr>
                <w:p w14:paraId="43FC4268"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57" w:type="dxa"/>
                </w:tcPr>
                <w:p w14:paraId="43FC4269"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57" w:type="dxa"/>
                </w:tcPr>
                <w:p w14:paraId="43FC426A"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87" w:type="dxa"/>
                </w:tcPr>
                <w:p w14:paraId="43FC426B" w14:textId="77777777" w:rsidR="009045EB" w:rsidRDefault="0072593A">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w:t>
                  </w:r>
                </w:p>
              </w:tc>
            </w:tr>
          </w:tbl>
          <w:p w14:paraId="43FC426D"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7F" w14:textId="77777777">
        <w:trPr>
          <w:trHeight w:val="230"/>
        </w:trPr>
        <w:tc>
          <w:tcPr>
            <w:tcW w:w="2802" w:type="dxa"/>
            <w:vMerge/>
          </w:tcPr>
          <w:p w14:paraId="43FC426F" w14:textId="77777777" w:rsidR="009045EB" w:rsidRDefault="009045EB">
            <w:pPr>
              <w:widowControl w:val="0"/>
              <w:pBdr>
                <w:top w:val="nil"/>
                <w:left w:val="nil"/>
                <w:bottom w:val="nil"/>
                <w:right w:val="nil"/>
                <w:between w:val="nil"/>
              </w:pBdr>
              <w:spacing w:before="0" w:after="0" w:line="276" w:lineRule="auto"/>
              <w:rPr>
                <w:rFonts w:eastAsia="Arial" w:cs="Arial"/>
                <w:sz w:val="18"/>
                <w:szCs w:val="18"/>
              </w:rPr>
            </w:pPr>
          </w:p>
        </w:tc>
        <w:tc>
          <w:tcPr>
            <w:tcW w:w="2126" w:type="dxa"/>
          </w:tcPr>
          <w:p w14:paraId="43FC4270"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Longitude (dd mm ss)</w:t>
            </w:r>
          </w:p>
        </w:tc>
        <w:tc>
          <w:tcPr>
            <w:tcW w:w="4315" w:type="dxa"/>
            <w:gridSpan w:val="3"/>
          </w:tcPr>
          <w:p w14:paraId="43FC4271" w14:textId="77777777" w:rsidR="009045EB" w:rsidRDefault="009045EB">
            <w:pPr>
              <w:widowControl w:val="0"/>
              <w:pBdr>
                <w:top w:val="nil"/>
                <w:left w:val="nil"/>
                <w:bottom w:val="nil"/>
                <w:right w:val="nil"/>
                <w:between w:val="nil"/>
              </w:pBdr>
              <w:spacing w:before="0" w:after="0" w:line="276" w:lineRule="auto"/>
              <w:rPr>
                <w:rFonts w:eastAsia="Arial" w:cs="Arial"/>
                <w:sz w:val="18"/>
                <w:szCs w:val="18"/>
              </w:rPr>
            </w:pPr>
          </w:p>
          <w:tbl>
            <w:tblPr>
              <w:tblStyle w:val="ae"/>
              <w:tblW w:w="4004" w:type="dxa"/>
              <w:tblBorders>
                <w:top w:val="single" w:sz="4" w:space="0" w:color="666666"/>
                <w:left w:val="single" w:sz="4" w:space="0" w:color="666666"/>
                <w:bottom w:val="single" w:sz="4" w:space="0" w:color="666666"/>
                <w:right w:val="single" w:sz="4" w:space="0" w:color="666666"/>
                <w:insideH w:val="single" w:sz="4" w:space="0" w:color="FFFFFF"/>
                <w:insideV w:val="single" w:sz="4" w:space="0" w:color="666666"/>
              </w:tblBorders>
              <w:tblLayout w:type="fixed"/>
              <w:tblLook w:val="04A0" w:firstRow="1" w:lastRow="0" w:firstColumn="1" w:lastColumn="0" w:noHBand="0" w:noVBand="1"/>
            </w:tblPr>
            <w:tblGrid>
              <w:gridCol w:w="378"/>
              <w:gridCol w:w="356"/>
              <w:gridCol w:w="356"/>
              <w:gridCol w:w="373"/>
              <w:gridCol w:w="357"/>
              <w:gridCol w:w="357"/>
              <w:gridCol w:w="369"/>
              <w:gridCol w:w="357"/>
              <w:gridCol w:w="357"/>
              <w:gridCol w:w="357"/>
              <w:gridCol w:w="387"/>
            </w:tblGrid>
            <w:tr w:rsidR="009045EB" w14:paraId="43FC427D" w14:textId="77777777" w:rsidTr="00904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 w:type="dxa"/>
                </w:tcPr>
                <w:p w14:paraId="43FC4272" w14:textId="77777777" w:rsidR="009045EB" w:rsidRDefault="0072593A">
                  <w:pPr>
                    <w:shd w:val="clear" w:color="auto" w:fill="FFFFFF"/>
                    <w:rPr>
                      <w:rFonts w:eastAsia="Arial" w:cs="Arial"/>
                      <w:sz w:val="18"/>
                      <w:szCs w:val="18"/>
                    </w:rPr>
                  </w:pPr>
                  <w:r>
                    <w:rPr>
                      <w:rFonts w:eastAsia="Arial" w:cs="Arial"/>
                      <w:sz w:val="18"/>
                      <w:szCs w:val="18"/>
                    </w:rPr>
                    <w:t>E</w:t>
                  </w:r>
                </w:p>
              </w:tc>
              <w:tc>
                <w:tcPr>
                  <w:tcW w:w="356" w:type="dxa"/>
                </w:tcPr>
                <w:p w14:paraId="43FC4273"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56" w:type="dxa"/>
                </w:tcPr>
                <w:p w14:paraId="43FC4274"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73" w:type="dxa"/>
                </w:tcPr>
                <w:p w14:paraId="43FC4275" w14:textId="77777777" w:rsidR="009045EB" w:rsidRDefault="0072593A">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w:t>
                  </w:r>
                </w:p>
              </w:tc>
              <w:tc>
                <w:tcPr>
                  <w:tcW w:w="357" w:type="dxa"/>
                </w:tcPr>
                <w:p w14:paraId="43FC4276"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57" w:type="dxa"/>
                </w:tcPr>
                <w:p w14:paraId="43FC4277"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69" w:type="dxa"/>
                </w:tcPr>
                <w:p w14:paraId="43FC4278" w14:textId="77777777" w:rsidR="009045EB" w:rsidRDefault="0072593A">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w:t>
                  </w:r>
                </w:p>
              </w:tc>
              <w:tc>
                <w:tcPr>
                  <w:tcW w:w="357" w:type="dxa"/>
                </w:tcPr>
                <w:p w14:paraId="43FC4279"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57" w:type="dxa"/>
                </w:tcPr>
                <w:p w14:paraId="43FC427A"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57" w:type="dxa"/>
                </w:tcPr>
                <w:p w14:paraId="43FC427B" w14:textId="77777777" w:rsidR="009045EB" w:rsidRDefault="009045EB">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p>
              </w:tc>
              <w:tc>
                <w:tcPr>
                  <w:tcW w:w="387" w:type="dxa"/>
                </w:tcPr>
                <w:p w14:paraId="43FC427C" w14:textId="77777777" w:rsidR="009045EB" w:rsidRDefault="0072593A">
                  <w:pPr>
                    <w:shd w:val="clear" w:color="auto" w:fill="FFFFFF"/>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w:t>
                  </w:r>
                </w:p>
              </w:tc>
            </w:tr>
          </w:tbl>
          <w:p w14:paraId="43FC427E"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82" w14:textId="77777777">
        <w:trPr>
          <w:trHeight w:val="230"/>
        </w:trPr>
        <w:tc>
          <w:tcPr>
            <w:tcW w:w="2802" w:type="dxa"/>
          </w:tcPr>
          <w:p w14:paraId="43FC4280"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Name of owner/account holder:</w:t>
            </w:r>
          </w:p>
        </w:tc>
        <w:tc>
          <w:tcPr>
            <w:tcW w:w="6441" w:type="dxa"/>
            <w:gridSpan w:val="4"/>
          </w:tcPr>
          <w:p w14:paraId="43FC4281"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85" w14:textId="77777777">
        <w:trPr>
          <w:trHeight w:val="230"/>
        </w:trPr>
        <w:tc>
          <w:tcPr>
            <w:tcW w:w="2802" w:type="dxa"/>
          </w:tcPr>
          <w:p w14:paraId="43FC4283"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Electricity Account Number:</w:t>
            </w:r>
          </w:p>
        </w:tc>
        <w:tc>
          <w:tcPr>
            <w:tcW w:w="6441" w:type="dxa"/>
            <w:gridSpan w:val="4"/>
          </w:tcPr>
          <w:p w14:paraId="43FC4284"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89" w14:textId="77777777">
        <w:trPr>
          <w:trHeight w:val="230"/>
        </w:trPr>
        <w:tc>
          <w:tcPr>
            <w:tcW w:w="2802" w:type="dxa"/>
            <w:vMerge w:val="restart"/>
          </w:tcPr>
          <w:p w14:paraId="43FC4286"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Telephone Number:</w:t>
            </w:r>
          </w:p>
        </w:tc>
        <w:tc>
          <w:tcPr>
            <w:tcW w:w="2126" w:type="dxa"/>
          </w:tcPr>
          <w:p w14:paraId="43FC4287"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Land:</w:t>
            </w:r>
          </w:p>
        </w:tc>
        <w:tc>
          <w:tcPr>
            <w:tcW w:w="4315" w:type="dxa"/>
            <w:gridSpan w:val="3"/>
          </w:tcPr>
          <w:p w14:paraId="43FC4288"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8D" w14:textId="77777777">
        <w:trPr>
          <w:trHeight w:val="230"/>
        </w:trPr>
        <w:tc>
          <w:tcPr>
            <w:tcW w:w="2802" w:type="dxa"/>
            <w:vMerge/>
          </w:tcPr>
          <w:p w14:paraId="43FC428A" w14:textId="77777777" w:rsidR="009045EB" w:rsidRDefault="009045EB">
            <w:pPr>
              <w:widowControl w:val="0"/>
              <w:pBdr>
                <w:top w:val="nil"/>
                <w:left w:val="nil"/>
                <w:bottom w:val="nil"/>
                <w:right w:val="nil"/>
                <w:between w:val="nil"/>
              </w:pBdr>
              <w:spacing w:before="0" w:after="0" w:line="276" w:lineRule="auto"/>
              <w:rPr>
                <w:rFonts w:eastAsia="Arial" w:cs="Arial"/>
                <w:sz w:val="18"/>
                <w:szCs w:val="18"/>
              </w:rPr>
            </w:pPr>
          </w:p>
        </w:tc>
        <w:tc>
          <w:tcPr>
            <w:tcW w:w="2126" w:type="dxa"/>
          </w:tcPr>
          <w:p w14:paraId="43FC428B"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Mobile:</w:t>
            </w:r>
          </w:p>
        </w:tc>
        <w:tc>
          <w:tcPr>
            <w:tcW w:w="4315" w:type="dxa"/>
            <w:gridSpan w:val="3"/>
          </w:tcPr>
          <w:p w14:paraId="43FC428C"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90" w14:textId="77777777">
        <w:trPr>
          <w:trHeight w:val="230"/>
        </w:trPr>
        <w:tc>
          <w:tcPr>
            <w:tcW w:w="2802" w:type="dxa"/>
          </w:tcPr>
          <w:p w14:paraId="43FC428E" w14:textId="77777777" w:rsidR="009045EB" w:rsidRDefault="0072593A">
            <w:pPr>
              <w:pBdr>
                <w:top w:val="nil"/>
                <w:left w:val="nil"/>
                <w:bottom w:val="nil"/>
                <w:right w:val="nil"/>
                <w:between w:val="nil"/>
              </w:pBdr>
              <w:spacing w:before="0" w:after="0" w:line="276" w:lineRule="auto"/>
              <w:rPr>
                <w:rFonts w:eastAsia="Arial" w:cs="Arial"/>
                <w:sz w:val="18"/>
                <w:szCs w:val="18"/>
              </w:rPr>
            </w:pPr>
            <w:r>
              <w:rPr>
                <w:rFonts w:eastAsia="Arial" w:cs="Arial"/>
                <w:sz w:val="18"/>
                <w:szCs w:val="18"/>
              </w:rPr>
              <w:t>Email Address:</w:t>
            </w:r>
          </w:p>
        </w:tc>
        <w:tc>
          <w:tcPr>
            <w:tcW w:w="6441" w:type="dxa"/>
            <w:gridSpan w:val="4"/>
          </w:tcPr>
          <w:p w14:paraId="43FC428F"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r w:rsidR="009045EB" w14:paraId="43FC429D" w14:textId="77777777">
        <w:trPr>
          <w:trHeight w:val="230"/>
        </w:trPr>
        <w:tc>
          <w:tcPr>
            <w:tcW w:w="9243" w:type="dxa"/>
            <w:gridSpan w:val="5"/>
          </w:tcPr>
          <w:p w14:paraId="43FC4291" w14:textId="77777777" w:rsidR="009045EB" w:rsidRDefault="009045EB">
            <w:pPr>
              <w:pBdr>
                <w:top w:val="nil"/>
                <w:left w:val="nil"/>
                <w:bottom w:val="nil"/>
                <w:right w:val="nil"/>
                <w:between w:val="nil"/>
              </w:pBdr>
              <w:spacing w:before="0" w:after="0" w:line="276" w:lineRule="auto"/>
              <w:jc w:val="both"/>
              <w:rPr>
                <w:rFonts w:eastAsia="Arial" w:cs="Arial"/>
                <w:b/>
                <w:i/>
                <w:sz w:val="18"/>
                <w:szCs w:val="18"/>
              </w:rPr>
            </w:pPr>
          </w:p>
          <w:p w14:paraId="43FC4292" w14:textId="77777777" w:rsidR="009045EB" w:rsidRDefault="0072593A">
            <w:pPr>
              <w:pBdr>
                <w:top w:val="nil"/>
                <w:left w:val="nil"/>
                <w:bottom w:val="nil"/>
                <w:right w:val="nil"/>
                <w:between w:val="nil"/>
              </w:pBdr>
              <w:spacing w:before="0" w:after="0" w:line="360" w:lineRule="auto"/>
              <w:jc w:val="both"/>
              <w:rPr>
                <w:rFonts w:eastAsia="Arial" w:cs="Arial"/>
                <w:b/>
                <w:i/>
                <w:sz w:val="18"/>
                <w:szCs w:val="18"/>
              </w:rPr>
            </w:pPr>
            <w:r>
              <w:rPr>
                <w:rFonts w:eastAsia="Arial" w:cs="Arial"/>
                <w:b/>
                <w:i/>
                <w:sz w:val="18"/>
                <w:szCs w:val="18"/>
              </w:rPr>
              <w:t>Acceptance of Terms and Conditions</w:t>
            </w:r>
          </w:p>
          <w:p w14:paraId="43FC4293" w14:textId="77777777" w:rsidR="009045EB" w:rsidRDefault="0072593A">
            <w:pPr>
              <w:pBdr>
                <w:top w:val="nil"/>
                <w:left w:val="nil"/>
                <w:bottom w:val="nil"/>
                <w:right w:val="nil"/>
                <w:between w:val="nil"/>
              </w:pBdr>
              <w:spacing w:before="0" w:after="0" w:line="276" w:lineRule="auto"/>
              <w:jc w:val="both"/>
              <w:rPr>
                <w:rFonts w:eastAsia="Arial" w:cs="Arial"/>
                <w:i/>
                <w:sz w:val="18"/>
                <w:szCs w:val="18"/>
              </w:rPr>
            </w:pPr>
            <w:r>
              <w:rPr>
                <w:rFonts w:eastAsia="Arial" w:cs="Arial"/>
                <w:i/>
                <w:sz w:val="18"/>
                <w:szCs w:val="18"/>
              </w:rPr>
              <w:t>I, the Customer (Account Holder) acknowledge that I have read and understood the General Terms and Conditions: Contract for Connection of Embedded Generator and that by signing this declaration form, I agree to be bound by the General Terms and Conditions: Contract for Connection of Embedded Generator. I note that a copy of the General Terms and Conditions: Contract for Connection of Embedded Generator can be found on the Municipal website or is obtainable from the electricity department offices on request. Any amended terms and conditions found on the aforementioned website will form part of the terms and conditions of the General Terms and Conditions: Contract for Connection of Embedded Generator, to which terms I, the Customer, agree to be bound. The information provided in the SSEG Application Form accepted by the Municipality also forms part of the General Terms and Conditions: Contract for Connection of Embedded Generator.</w:t>
            </w:r>
          </w:p>
          <w:p w14:paraId="43FC4294" w14:textId="77777777" w:rsidR="009045EB" w:rsidRDefault="009045EB">
            <w:pPr>
              <w:pBdr>
                <w:top w:val="nil"/>
                <w:left w:val="nil"/>
                <w:bottom w:val="nil"/>
                <w:right w:val="nil"/>
                <w:between w:val="nil"/>
              </w:pBdr>
              <w:spacing w:before="0" w:after="0" w:line="276" w:lineRule="auto"/>
              <w:jc w:val="both"/>
              <w:rPr>
                <w:rFonts w:eastAsia="Arial" w:cs="Arial"/>
                <w:sz w:val="18"/>
                <w:szCs w:val="18"/>
              </w:rPr>
            </w:pPr>
          </w:p>
          <w:p w14:paraId="43FC4295" w14:textId="77777777" w:rsidR="009045EB" w:rsidRDefault="0072593A">
            <w:pPr>
              <w:pBdr>
                <w:top w:val="nil"/>
                <w:left w:val="nil"/>
                <w:bottom w:val="nil"/>
                <w:right w:val="nil"/>
                <w:between w:val="nil"/>
              </w:pBdr>
              <w:spacing w:before="0" w:after="0" w:line="276" w:lineRule="auto"/>
              <w:jc w:val="both"/>
              <w:rPr>
                <w:rFonts w:eastAsia="Arial" w:cs="Arial"/>
                <w:b/>
                <w:sz w:val="18"/>
                <w:szCs w:val="18"/>
              </w:rPr>
            </w:pPr>
            <w:r>
              <w:rPr>
                <w:rFonts w:eastAsia="Arial" w:cs="Arial"/>
                <w:b/>
                <w:sz w:val="18"/>
                <w:szCs w:val="18"/>
              </w:rPr>
              <w:t>Customer (Account Holder) Signoff:</w:t>
            </w:r>
          </w:p>
          <w:p w14:paraId="43FC4296" w14:textId="77777777" w:rsidR="009045EB" w:rsidRDefault="009045EB">
            <w:pPr>
              <w:pBdr>
                <w:top w:val="nil"/>
                <w:left w:val="nil"/>
                <w:bottom w:val="nil"/>
                <w:right w:val="nil"/>
                <w:between w:val="nil"/>
              </w:pBdr>
              <w:spacing w:before="0" w:after="0" w:line="276" w:lineRule="auto"/>
              <w:jc w:val="both"/>
              <w:rPr>
                <w:rFonts w:eastAsia="Arial" w:cs="Arial"/>
                <w:b/>
                <w:sz w:val="18"/>
                <w:szCs w:val="18"/>
              </w:rPr>
            </w:pPr>
          </w:p>
          <w:p w14:paraId="43FC4297" w14:textId="77777777" w:rsidR="009045EB" w:rsidRDefault="0072593A">
            <w:pPr>
              <w:pBdr>
                <w:top w:val="nil"/>
                <w:left w:val="nil"/>
                <w:bottom w:val="nil"/>
                <w:right w:val="nil"/>
                <w:between w:val="nil"/>
              </w:pBdr>
              <w:spacing w:before="0" w:after="0" w:line="276" w:lineRule="auto"/>
              <w:jc w:val="both"/>
              <w:rPr>
                <w:rFonts w:eastAsia="Arial" w:cs="Arial"/>
                <w:b/>
                <w:sz w:val="18"/>
                <w:szCs w:val="18"/>
              </w:rPr>
            </w:pPr>
            <w:r>
              <w:rPr>
                <w:rFonts w:eastAsia="Arial" w:cs="Arial"/>
                <w:b/>
                <w:sz w:val="18"/>
                <w:szCs w:val="18"/>
              </w:rPr>
              <w:tab/>
            </w:r>
          </w:p>
          <w:p w14:paraId="43FC4298" w14:textId="77777777" w:rsidR="009045EB" w:rsidRDefault="009045EB">
            <w:pPr>
              <w:pBdr>
                <w:top w:val="nil"/>
                <w:left w:val="nil"/>
                <w:bottom w:val="nil"/>
                <w:right w:val="nil"/>
                <w:between w:val="nil"/>
              </w:pBdr>
              <w:spacing w:before="0" w:after="0" w:line="276" w:lineRule="auto"/>
              <w:jc w:val="both"/>
              <w:rPr>
                <w:rFonts w:eastAsia="Arial" w:cs="Arial"/>
                <w:b/>
                <w:sz w:val="18"/>
                <w:szCs w:val="18"/>
              </w:rPr>
            </w:pPr>
          </w:p>
          <w:p w14:paraId="43FC4299" w14:textId="77777777" w:rsidR="009045EB" w:rsidRDefault="009045EB">
            <w:pPr>
              <w:pBdr>
                <w:top w:val="nil"/>
                <w:left w:val="nil"/>
                <w:bottom w:val="nil"/>
                <w:right w:val="nil"/>
                <w:between w:val="nil"/>
              </w:pBdr>
              <w:spacing w:before="0" w:after="0" w:line="276" w:lineRule="auto"/>
              <w:jc w:val="both"/>
              <w:rPr>
                <w:rFonts w:eastAsia="Arial" w:cs="Arial"/>
                <w:b/>
                <w:sz w:val="18"/>
                <w:szCs w:val="18"/>
              </w:rPr>
            </w:pPr>
          </w:p>
          <w:p w14:paraId="43FC429A" w14:textId="77777777" w:rsidR="009045EB" w:rsidRDefault="0072593A">
            <w:pPr>
              <w:pBdr>
                <w:top w:val="nil"/>
                <w:left w:val="nil"/>
                <w:bottom w:val="nil"/>
                <w:right w:val="nil"/>
                <w:between w:val="nil"/>
              </w:pBdr>
              <w:spacing w:before="0" w:after="0" w:line="360" w:lineRule="auto"/>
              <w:jc w:val="both"/>
              <w:rPr>
                <w:rFonts w:eastAsia="Arial" w:cs="Arial"/>
                <w:b/>
                <w:sz w:val="18"/>
                <w:szCs w:val="18"/>
              </w:rPr>
            </w:pPr>
            <w:r>
              <w:rPr>
                <w:rFonts w:eastAsia="Arial" w:cs="Arial"/>
                <w:b/>
                <w:sz w:val="18"/>
                <w:szCs w:val="18"/>
              </w:rPr>
              <w:t>_______________________________</w:t>
            </w:r>
            <w:r>
              <w:rPr>
                <w:rFonts w:eastAsia="Arial" w:cs="Arial"/>
                <w:b/>
                <w:sz w:val="18"/>
                <w:szCs w:val="18"/>
              </w:rPr>
              <w:tab/>
              <w:t xml:space="preserve">   ____________________</w:t>
            </w:r>
            <w:r>
              <w:rPr>
                <w:rFonts w:eastAsia="Arial" w:cs="Arial"/>
                <w:b/>
                <w:sz w:val="18"/>
                <w:szCs w:val="18"/>
              </w:rPr>
              <w:tab/>
              <w:t xml:space="preserve">                _______________________</w:t>
            </w:r>
          </w:p>
          <w:p w14:paraId="43FC429B" w14:textId="77777777" w:rsidR="009045EB" w:rsidRDefault="0072593A">
            <w:pPr>
              <w:pBdr>
                <w:top w:val="nil"/>
                <w:left w:val="nil"/>
                <w:bottom w:val="nil"/>
                <w:right w:val="nil"/>
                <w:between w:val="nil"/>
              </w:pBdr>
              <w:spacing w:before="0" w:after="0" w:line="276" w:lineRule="auto"/>
              <w:jc w:val="both"/>
              <w:rPr>
                <w:rFonts w:eastAsia="Arial" w:cs="Arial"/>
                <w:sz w:val="18"/>
                <w:szCs w:val="18"/>
              </w:rPr>
            </w:pPr>
            <w:r>
              <w:rPr>
                <w:rFonts w:eastAsia="Arial" w:cs="Arial"/>
                <w:sz w:val="18"/>
                <w:szCs w:val="18"/>
              </w:rPr>
              <w:t>Name</w:t>
            </w:r>
            <w:r>
              <w:rPr>
                <w:rFonts w:eastAsia="Arial" w:cs="Arial"/>
                <w:sz w:val="18"/>
                <w:szCs w:val="18"/>
              </w:rPr>
              <w:tab/>
            </w:r>
            <w:r>
              <w:rPr>
                <w:rFonts w:eastAsia="Arial" w:cs="Arial"/>
                <w:sz w:val="18"/>
                <w:szCs w:val="18"/>
              </w:rPr>
              <w:tab/>
            </w:r>
            <w:r>
              <w:rPr>
                <w:rFonts w:eastAsia="Arial" w:cs="Arial"/>
                <w:sz w:val="18"/>
                <w:szCs w:val="18"/>
              </w:rPr>
              <w:tab/>
            </w:r>
            <w:r>
              <w:rPr>
                <w:rFonts w:eastAsia="Arial" w:cs="Arial"/>
                <w:sz w:val="18"/>
                <w:szCs w:val="18"/>
              </w:rPr>
              <w:tab/>
              <w:t xml:space="preserve">                  Date</w:t>
            </w:r>
            <w:r>
              <w:rPr>
                <w:rFonts w:eastAsia="Arial" w:cs="Arial"/>
                <w:sz w:val="18"/>
                <w:szCs w:val="18"/>
              </w:rPr>
              <w:tab/>
              <w:t xml:space="preserve">                                             Signature</w:t>
            </w:r>
          </w:p>
          <w:p w14:paraId="43FC429C" w14:textId="77777777" w:rsidR="009045EB" w:rsidRDefault="009045EB">
            <w:pPr>
              <w:pBdr>
                <w:top w:val="nil"/>
                <w:left w:val="nil"/>
                <w:bottom w:val="nil"/>
                <w:right w:val="nil"/>
                <w:between w:val="nil"/>
              </w:pBdr>
              <w:spacing w:before="0" w:after="0" w:line="276" w:lineRule="auto"/>
              <w:rPr>
                <w:rFonts w:eastAsia="Arial" w:cs="Arial"/>
                <w:sz w:val="18"/>
                <w:szCs w:val="18"/>
              </w:rPr>
            </w:pPr>
          </w:p>
        </w:tc>
      </w:tr>
    </w:tbl>
    <w:p w14:paraId="43FC429E"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29F" w14:textId="77777777" w:rsidR="009045EB" w:rsidRDefault="009045EB">
      <w:pPr>
        <w:pBdr>
          <w:top w:val="nil"/>
          <w:left w:val="nil"/>
          <w:bottom w:val="nil"/>
          <w:right w:val="nil"/>
          <w:between w:val="nil"/>
        </w:pBdr>
        <w:spacing w:line="276" w:lineRule="auto"/>
        <w:jc w:val="both"/>
        <w:rPr>
          <w:rFonts w:ascii="Arial" w:eastAsia="Arial" w:hAnsi="Arial" w:cs="Arial"/>
          <w:color w:val="000000"/>
          <w:szCs w:val="20"/>
        </w:rPr>
      </w:pPr>
    </w:p>
    <w:p w14:paraId="43FC42A0" w14:textId="77777777" w:rsidR="009045EB" w:rsidRDefault="0072593A">
      <w:p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declaration must be submitted to the electricity department.</w:t>
      </w:r>
    </w:p>
    <w:p w14:paraId="43FC42A2" w14:textId="7CC0EE92" w:rsidR="009045EB" w:rsidRDefault="009045EB" w:rsidP="00671E0F">
      <w:pPr>
        <w:pBdr>
          <w:top w:val="nil"/>
          <w:left w:val="nil"/>
          <w:bottom w:val="nil"/>
          <w:right w:val="nil"/>
          <w:between w:val="nil"/>
        </w:pBdr>
        <w:tabs>
          <w:tab w:val="left" w:pos="3460"/>
        </w:tabs>
        <w:spacing w:before="120"/>
        <w:rPr>
          <w:rFonts w:ascii="Arial" w:eastAsia="Arial" w:hAnsi="Arial" w:cs="Arial"/>
          <w:color w:val="000000"/>
          <w:szCs w:val="20"/>
        </w:rPr>
      </w:pPr>
    </w:p>
    <w:sectPr w:rsidR="009045EB">
      <w:headerReference w:type="default" r:id="rId45"/>
      <w:footerReference w:type="default" r:id="rId46"/>
      <w:headerReference w:type="first" r:id="rId47"/>
      <w:pgSz w:w="11906" w:h="16838"/>
      <w:pgMar w:top="1418" w:right="1440" w:bottom="1702" w:left="1440" w:header="709" w:footer="62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80B88" w14:textId="77777777" w:rsidR="00615D00" w:rsidRDefault="00615D00">
      <w:pPr>
        <w:spacing w:line="240" w:lineRule="auto"/>
      </w:pPr>
      <w:r>
        <w:separator/>
      </w:r>
    </w:p>
  </w:endnote>
  <w:endnote w:type="continuationSeparator" w:id="0">
    <w:p w14:paraId="103FD3FD" w14:textId="77777777" w:rsidR="00615D00" w:rsidRDefault="00615D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42E8" w14:textId="0352D8D9" w:rsidR="001A2FBB" w:rsidRDefault="001A2FBB">
    <w:pPr>
      <w:pBdr>
        <w:top w:val="nil"/>
        <w:left w:val="nil"/>
        <w:bottom w:val="nil"/>
        <w:right w:val="nil"/>
        <w:between w:val="nil"/>
      </w:pBdr>
      <w:tabs>
        <w:tab w:val="center" w:pos="4320"/>
        <w:tab w:val="right" w:pos="8640"/>
      </w:tabs>
      <w:spacing w:line="276" w:lineRule="auto"/>
      <w:rPr>
        <w:rFonts w:ascii="Arial" w:eastAsia="Arial" w:hAnsi="Arial" w:cs="Arial"/>
        <w:color w:val="262626"/>
        <w:sz w:val="18"/>
        <w:szCs w:val="18"/>
      </w:rPr>
    </w:pPr>
    <w:r>
      <w:rPr>
        <w:rFonts w:ascii="Arial" w:eastAsia="Arial" w:hAnsi="Arial" w:cs="Arial"/>
        <w:color w:val="262626"/>
        <w:sz w:val="18"/>
        <w:szCs w:val="18"/>
      </w:rPr>
      <w:t>Small Scale Embedded Generation Requirements</w:t>
    </w:r>
    <w:r>
      <w:rPr>
        <w:rFonts w:ascii="Arial" w:eastAsia="Arial" w:hAnsi="Arial" w:cs="Arial"/>
        <w:color w:val="262626"/>
        <w:sz w:val="18"/>
        <w:szCs w:val="18"/>
      </w:rPr>
      <w:tab/>
    </w:r>
    <w:r>
      <w:rPr>
        <w:rFonts w:ascii="Arial" w:eastAsia="Arial" w:hAnsi="Arial" w:cs="Arial"/>
        <w:color w:val="262626"/>
        <w:sz w:val="18"/>
        <w:szCs w:val="18"/>
      </w:rPr>
      <w:fldChar w:fldCharType="begin"/>
    </w:r>
    <w:r>
      <w:rPr>
        <w:rFonts w:ascii="Arial" w:eastAsia="Arial" w:hAnsi="Arial" w:cs="Arial"/>
        <w:color w:val="262626"/>
        <w:sz w:val="18"/>
        <w:szCs w:val="18"/>
      </w:rPr>
      <w:instrText>PAGE</w:instrText>
    </w:r>
    <w:r>
      <w:rPr>
        <w:rFonts w:ascii="Arial" w:eastAsia="Arial" w:hAnsi="Arial" w:cs="Arial"/>
        <w:color w:val="262626"/>
        <w:sz w:val="18"/>
        <w:szCs w:val="18"/>
      </w:rPr>
      <w:fldChar w:fldCharType="separate"/>
    </w:r>
    <w:r w:rsidR="00273B7C">
      <w:rPr>
        <w:rFonts w:ascii="Arial" w:eastAsia="Arial" w:hAnsi="Arial" w:cs="Arial"/>
        <w:noProof/>
        <w:color w:val="262626"/>
        <w:sz w:val="18"/>
        <w:szCs w:val="18"/>
      </w:rPr>
      <w:t>15</w:t>
    </w:r>
    <w:r>
      <w:rPr>
        <w:rFonts w:ascii="Arial" w:eastAsia="Arial" w:hAnsi="Arial" w:cs="Arial"/>
        <w:color w:val="262626"/>
        <w:sz w:val="18"/>
        <w:szCs w:val="18"/>
      </w:rPr>
      <w:fldChar w:fldCharType="end"/>
    </w:r>
  </w:p>
  <w:p w14:paraId="43FC42E9" w14:textId="77777777" w:rsidR="001A2FBB" w:rsidRDefault="001A2FBB">
    <w:pPr>
      <w:pBdr>
        <w:top w:val="nil"/>
        <w:left w:val="nil"/>
        <w:bottom w:val="nil"/>
        <w:right w:val="nil"/>
        <w:between w:val="nil"/>
      </w:pBdr>
      <w:tabs>
        <w:tab w:val="center" w:pos="4320"/>
        <w:tab w:val="right" w:pos="8640"/>
      </w:tabs>
      <w:spacing w:line="276" w:lineRule="auto"/>
      <w:rPr>
        <w:rFonts w:ascii="Arial" w:eastAsia="Arial" w:hAnsi="Arial" w:cs="Arial"/>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82993" w14:textId="77777777" w:rsidR="00615D00" w:rsidRDefault="00615D00">
      <w:pPr>
        <w:spacing w:line="240" w:lineRule="auto"/>
      </w:pPr>
      <w:r>
        <w:separator/>
      </w:r>
    </w:p>
  </w:footnote>
  <w:footnote w:type="continuationSeparator" w:id="0">
    <w:p w14:paraId="1E911CC4" w14:textId="77777777" w:rsidR="00615D00" w:rsidRDefault="00615D00">
      <w:pPr>
        <w:spacing w:line="240" w:lineRule="auto"/>
      </w:pPr>
      <w:r>
        <w:continuationSeparator/>
      </w:r>
    </w:p>
  </w:footnote>
  <w:footnote w:id="1">
    <w:p w14:paraId="5DFB23FA" w14:textId="6B9B3525" w:rsidR="001A2FBB" w:rsidRDefault="001A2FBB" w:rsidP="00666896">
      <w:pPr>
        <w:pStyle w:val="FootnoteText"/>
      </w:pPr>
      <w:r>
        <w:rPr>
          <w:rStyle w:val="FootnoteReference"/>
        </w:rPr>
        <w:footnoteRef/>
      </w:r>
      <w:r>
        <w:t xml:space="preserve"> Note that the Grid Code is the overarching technical regulatory framework applicable to all generators, however the NRS097 series covers the aspects of the Grid Code relevant to SSEG, and therefore the Grid Code does not need to be directly referred to for generators covered by NRS097 specifications.</w:t>
      </w:r>
    </w:p>
  </w:footnote>
  <w:footnote w:id="2">
    <w:p w14:paraId="5AF6DEC5" w14:textId="5748BF6B" w:rsidR="001A2FBB" w:rsidRDefault="001A2FBB" w:rsidP="00666896">
      <w:pPr>
        <w:pStyle w:val="FootnoteText"/>
      </w:pPr>
      <w:r>
        <w:rPr>
          <w:rStyle w:val="FootnoteReference"/>
        </w:rPr>
        <w:footnoteRef/>
      </w:r>
      <w:r>
        <w:t xml:space="preserve"> The NRS097-2-3 uses the term UIC (utility installed capacity) in place of NMD (notified maximum demand) which is used in this document. They can be regarded as the same for the purposes on this document.</w:t>
      </w:r>
    </w:p>
  </w:footnote>
  <w:footnote w:id="3">
    <w:p w14:paraId="2B089A1F" w14:textId="682B0AB3" w:rsidR="001A2FBB" w:rsidRDefault="001A2FBB" w:rsidP="00666896">
      <w:pPr>
        <w:pStyle w:val="FootnoteText"/>
      </w:pPr>
      <w:r>
        <w:rPr>
          <w:rStyle w:val="FootnoteReference"/>
        </w:rPr>
        <w:footnoteRef/>
      </w:r>
      <w:r>
        <w:t xml:space="preserve"> Measured on the AC terminals of the power conversion equipment</w:t>
      </w:r>
      <w:r w:rsidRPr="006E4AD2">
        <w:t xml:space="preserve">                        </w:t>
      </w:r>
    </w:p>
  </w:footnote>
  <w:footnote w:id="4">
    <w:p w14:paraId="05DB3338" w14:textId="77777777" w:rsidR="001A2FBB" w:rsidRDefault="001A2FBB" w:rsidP="00666896">
      <w:pPr>
        <w:pStyle w:val="FootnoteText"/>
      </w:pPr>
      <w:r>
        <w:rPr>
          <w:rStyle w:val="FootnoteReference"/>
        </w:rPr>
        <w:footnoteRef/>
      </w:r>
      <w:r>
        <w:t xml:space="preserve"> The NRS097-2-3 uses the term UIC (utility installed capacity) in place of NMD (notified maximum demand) which is used in this document. They can be regarded as the same for the purposes on this document.</w:t>
      </w:r>
    </w:p>
  </w:footnote>
  <w:footnote w:id="5">
    <w:p w14:paraId="6E25ED37" w14:textId="20DACB1A" w:rsidR="001A2FBB" w:rsidRDefault="001A2FBB">
      <w:pPr>
        <w:pStyle w:val="FootnoteText"/>
      </w:pPr>
      <w:r>
        <w:rPr>
          <w:rStyle w:val="FootnoteReference"/>
        </w:rPr>
        <w:footnoteRef/>
      </w:r>
      <w:r>
        <w:t xml:space="preserve"> Measured on the AC terminals of the power conversion equipment</w:t>
      </w:r>
    </w:p>
  </w:footnote>
  <w:footnote w:id="6">
    <w:p w14:paraId="29787A0F" w14:textId="4D27BA3A" w:rsidR="001A2FBB" w:rsidRPr="00840A84" w:rsidRDefault="001A2FBB">
      <w:pPr>
        <w:pStyle w:val="FootnoteText"/>
        <w:rPr>
          <w:lang w:val="en-GB"/>
        </w:rPr>
      </w:pPr>
      <w:r>
        <w:rPr>
          <w:rStyle w:val="FootnoteReference"/>
        </w:rPr>
        <w:footnoteRef/>
      </w:r>
      <w:r>
        <w:t xml:space="preserve"> </w:t>
      </w:r>
      <w:r>
        <w:rPr>
          <w:lang w:val="en-GB"/>
        </w:rPr>
        <w:t>See NRS097-2-3 in the case of dedicated single-phase supplies.</w:t>
      </w:r>
    </w:p>
  </w:footnote>
  <w:footnote w:id="7">
    <w:p w14:paraId="43FC42F1" w14:textId="77777777" w:rsidR="001A2FBB" w:rsidRDefault="001A2FBB">
      <w:pPr>
        <w:pBdr>
          <w:top w:val="nil"/>
          <w:left w:val="nil"/>
          <w:bottom w:val="nil"/>
          <w:right w:val="nil"/>
          <w:between w:val="nil"/>
        </w:pBdr>
        <w:spacing w:line="276" w:lineRule="auto"/>
        <w:rPr>
          <w:rFonts w:ascii="Arial" w:eastAsia="Arial" w:hAnsi="Arial" w:cs="Arial"/>
          <w:color w:val="808080"/>
          <w:sz w:val="16"/>
          <w:szCs w:val="16"/>
        </w:rPr>
      </w:pPr>
      <w:r>
        <w:rPr>
          <w:rStyle w:val="FootnoteReference"/>
        </w:rPr>
        <w:footnoteRef/>
      </w:r>
      <w:r>
        <w:rPr>
          <w:rFonts w:ascii="Arial" w:eastAsia="Arial" w:hAnsi="Arial" w:cs="Arial"/>
          <w:color w:val="808080"/>
          <w:sz w:val="16"/>
          <w:szCs w:val="16"/>
        </w:rPr>
        <w:t xml:space="preserve"> As a minimum these limits should be in line with the South African Grid Code (SAGC), Distribution Code and the SAGC Requirements for Renewable Power Plants</w:t>
      </w:r>
    </w:p>
    <w:p w14:paraId="43FC42F2" w14:textId="77777777" w:rsidR="001A2FBB" w:rsidRDefault="001A2FBB">
      <w:pPr>
        <w:pBdr>
          <w:top w:val="nil"/>
          <w:left w:val="nil"/>
          <w:bottom w:val="nil"/>
          <w:right w:val="nil"/>
          <w:between w:val="nil"/>
        </w:pBdr>
        <w:spacing w:line="276" w:lineRule="auto"/>
        <w:rPr>
          <w:rFonts w:ascii="Arial" w:eastAsia="Arial" w:hAnsi="Arial" w:cs="Arial"/>
          <w:color w:val="80808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42E7" w14:textId="77777777" w:rsidR="001A2FBB" w:rsidRDefault="001A2FBB">
    <w:pPr>
      <w:pBdr>
        <w:top w:val="nil"/>
        <w:left w:val="nil"/>
        <w:bottom w:val="nil"/>
        <w:right w:val="nil"/>
        <w:between w:val="nil"/>
      </w:pBdr>
      <w:tabs>
        <w:tab w:val="center" w:pos="4320"/>
        <w:tab w:val="right" w:pos="8640"/>
      </w:tabs>
      <w:spacing w:line="276" w:lineRule="auto"/>
      <w:rPr>
        <w:rFonts w:ascii="Arial" w:eastAsia="Arial" w:hAnsi="Arial" w:cs="Arial"/>
        <w:color w:val="000000"/>
        <w:szCs w:val="20"/>
      </w:rPr>
    </w:pPr>
    <w:r>
      <w:rPr>
        <w:rFonts w:ascii="Arial" w:eastAsia="Arial" w:hAnsi="Arial" w:cs="Arial"/>
        <w:noProof/>
        <w:color w:val="000000"/>
        <w:szCs w:val="20"/>
      </w:rPr>
      <w:drawing>
        <wp:anchor distT="0" distB="0" distL="0" distR="0" simplePos="0" relativeHeight="251658240" behindDoc="1" locked="0" layoutInCell="1" hidden="0" allowOverlap="1" wp14:anchorId="43FC42EB" wp14:editId="43FC42EC">
          <wp:simplePos x="0" y="0"/>
          <wp:positionH relativeFrom="page">
            <wp:align>center</wp:align>
          </wp:positionH>
          <wp:positionV relativeFrom="page">
            <wp:align>center</wp:align>
          </wp:positionV>
          <wp:extent cx="7559675" cy="10690860"/>
          <wp:effectExtent l="0" t="0" r="0" b="0"/>
          <wp:wrapNone/>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59675" cy="1069086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42EA" w14:textId="77777777" w:rsidR="001A2FBB" w:rsidRDefault="001A2FBB">
    <w:pPr>
      <w:pBdr>
        <w:top w:val="nil"/>
        <w:left w:val="nil"/>
        <w:bottom w:val="nil"/>
        <w:right w:val="nil"/>
        <w:between w:val="nil"/>
      </w:pBdr>
      <w:tabs>
        <w:tab w:val="center" w:pos="4320"/>
        <w:tab w:val="right" w:pos="8640"/>
      </w:tabs>
      <w:spacing w:line="276" w:lineRule="auto"/>
      <w:rPr>
        <w:rFonts w:ascii="Arial" w:eastAsia="Arial" w:hAnsi="Arial" w:cs="Arial"/>
        <w:color w:val="000000"/>
        <w:szCs w:val="20"/>
      </w:rPr>
    </w:pPr>
    <w:r>
      <w:rPr>
        <w:rFonts w:ascii="Arial" w:eastAsia="Arial" w:hAnsi="Arial" w:cs="Arial"/>
        <w:noProof/>
        <w:color w:val="000000"/>
        <w:szCs w:val="20"/>
      </w:rPr>
      <w:drawing>
        <wp:anchor distT="0" distB="0" distL="0" distR="0" simplePos="0" relativeHeight="251659264" behindDoc="1" locked="0" layoutInCell="1" hidden="0" allowOverlap="1" wp14:anchorId="43FC42ED" wp14:editId="4A4D5185">
          <wp:simplePos x="0" y="0"/>
          <wp:positionH relativeFrom="page">
            <wp:posOffset>-1171574</wp:posOffset>
          </wp:positionH>
          <wp:positionV relativeFrom="page">
            <wp:posOffset>-66675</wp:posOffset>
          </wp:positionV>
          <wp:extent cx="9740900" cy="12920103"/>
          <wp:effectExtent l="0" t="0" r="0" b="0"/>
          <wp:wrapNone/>
          <wp:docPr id="105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
                  <a:srcRect/>
                  <a:stretch>
                    <a:fillRect/>
                  </a:stretch>
                </pic:blipFill>
                <pic:spPr>
                  <a:xfrm>
                    <a:off x="0" y="0"/>
                    <a:ext cx="9754306" cy="129378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9534C"/>
    <w:multiLevelType w:val="multilevel"/>
    <w:tmpl w:val="A5902590"/>
    <w:lvl w:ilvl="0">
      <w:start w:val="1"/>
      <w:numFmt w:val="bullet"/>
      <w:pStyle w:val="Heading1"/>
      <w:lvlText w:val="●"/>
      <w:lvlJc w:val="left"/>
      <w:pPr>
        <w:ind w:left="360" w:hanging="360"/>
      </w:pPr>
      <w:rPr>
        <w:rFonts w:ascii="Noto Sans Symbols" w:eastAsia="Noto Sans Symbols" w:hAnsi="Noto Sans Symbols" w:cs="Noto Sans Symbols"/>
      </w:rPr>
    </w:lvl>
    <w:lvl w:ilvl="1">
      <w:start w:val="1"/>
      <w:numFmt w:val="bullet"/>
      <w:pStyle w:val="Heading2"/>
      <w:lvlText w:val="o"/>
      <w:lvlJc w:val="left"/>
      <w:pPr>
        <w:ind w:left="1080" w:hanging="360"/>
      </w:pPr>
      <w:rPr>
        <w:rFonts w:ascii="Courier New" w:eastAsia="Courier New" w:hAnsi="Courier New" w:cs="Courier New"/>
      </w:rPr>
    </w:lvl>
    <w:lvl w:ilvl="2">
      <w:start w:val="1"/>
      <w:numFmt w:val="bullet"/>
      <w:pStyle w:val="Heading3"/>
      <w:lvlText w:val="▪"/>
      <w:lvlJc w:val="left"/>
      <w:pPr>
        <w:ind w:left="1800" w:hanging="360"/>
      </w:pPr>
      <w:rPr>
        <w:rFonts w:ascii="Noto Sans Symbols" w:eastAsia="Noto Sans Symbols" w:hAnsi="Noto Sans Symbols" w:cs="Noto Sans Symbols"/>
      </w:rPr>
    </w:lvl>
    <w:lvl w:ilvl="3">
      <w:start w:val="1"/>
      <w:numFmt w:val="bullet"/>
      <w:pStyle w:val="Heading4"/>
      <w:lvlText w:val="●"/>
      <w:lvlJc w:val="left"/>
      <w:pPr>
        <w:ind w:left="2520" w:hanging="360"/>
      </w:pPr>
      <w:rPr>
        <w:rFonts w:ascii="Noto Sans Symbols" w:eastAsia="Noto Sans Symbols" w:hAnsi="Noto Sans Symbols" w:cs="Noto Sans Symbols"/>
      </w:rPr>
    </w:lvl>
    <w:lvl w:ilvl="4">
      <w:start w:val="1"/>
      <w:numFmt w:val="bullet"/>
      <w:pStyle w:val="Heading5"/>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695868"/>
    <w:multiLevelType w:val="multilevel"/>
    <w:tmpl w:val="8D0C7D20"/>
    <w:lvl w:ilvl="0">
      <w:start w:val="1"/>
      <w:numFmt w:val="decimal"/>
      <w:lvlText w:val="%1."/>
      <w:lvlJc w:val="left"/>
      <w:pPr>
        <w:ind w:left="0" w:firstLine="0"/>
      </w:pPr>
    </w:lvl>
    <w:lvl w:ilvl="1">
      <w:start w:val="1"/>
      <w:numFmt w:val="decimal"/>
      <w:lvlText w:val="%1.%2."/>
      <w:lvlJc w:val="left"/>
      <w:pPr>
        <w:ind w:left="0" w:firstLine="0"/>
      </w:pPr>
      <w:rPr>
        <w:color w:val="0067B2"/>
      </w:rPr>
    </w:lvl>
    <w:lvl w:ilvl="2">
      <w:start w:val="1"/>
      <w:numFmt w:val="decimal"/>
      <w:lvlText w:val="%1.%2.%3."/>
      <w:lvlJc w:val="left"/>
      <w:pPr>
        <w:ind w:left="0" w:firstLine="0"/>
      </w:pPr>
      <w:rPr>
        <w:rFonts w:ascii="Arial" w:eastAsia="Arial" w:hAnsi="Arial" w:cs="Arial"/>
        <w:color w:val="0067B2"/>
        <w:sz w:val="20"/>
        <w:szCs w:val="2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366963"/>
    <w:multiLevelType w:val="multilevel"/>
    <w:tmpl w:val="9C804D4C"/>
    <w:lvl w:ilvl="0">
      <w:start w:val="1"/>
      <w:numFmt w:val="decimal"/>
      <w:pStyle w:val="ListParagraph"/>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1C71AD"/>
    <w:multiLevelType w:val="hybridMultilevel"/>
    <w:tmpl w:val="7D7A12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30A7464"/>
    <w:multiLevelType w:val="multilevel"/>
    <w:tmpl w:val="C636B700"/>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EA10D57"/>
    <w:multiLevelType w:val="multilevel"/>
    <w:tmpl w:val="CA362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6D33DE"/>
    <w:multiLevelType w:val="multilevel"/>
    <w:tmpl w:val="09E0290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lowerLetter"/>
      <w:pStyle w:val="ListBullet2"/>
      <w:lvlText w:val="%2."/>
      <w:lvlJc w:val="left"/>
      <w:pPr>
        <w:ind w:left="1440" w:hanging="360"/>
      </w:pPr>
    </w:lvl>
    <w:lvl w:ilvl="2">
      <w:start w:val="1"/>
      <w:numFmt w:val="lowerRoman"/>
      <w:pStyle w:val="ListBullet3"/>
      <w:lvlText w:val="%3."/>
      <w:lvlJc w:val="right"/>
      <w:pPr>
        <w:ind w:left="2160" w:hanging="180"/>
      </w:pPr>
    </w:lvl>
    <w:lvl w:ilvl="3">
      <w:start w:val="1"/>
      <w:numFmt w:val="decimal"/>
      <w:pStyle w:val="ListBullet4"/>
      <w:lvlText w:val="%4."/>
      <w:lvlJc w:val="left"/>
      <w:pPr>
        <w:ind w:left="2880" w:hanging="360"/>
      </w:pPr>
    </w:lvl>
    <w:lvl w:ilvl="4">
      <w:start w:val="1"/>
      <w:numFmt w:val="lowerLetter"/>
      <w:pStyle w:val="ListBullet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0C0304"/>
    <w:multiLevelType w:val="multilevel"/>
    <w:tmpl w:val="BE02DC3E"/>
    <w:lvl w:ilvl="0">
      <w:start w:val="1"/>
      <w:numFmt w:val="bullet"/>
      <w:pStyle w:val="Dashed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DC0E75"/>
    <w:multiLevelType w:val="multilevel"/>
    <w:tmpl w:val="81EE304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680FB1"/>
    <w:multiLevelType w:val="multilevel"/>
    <w:tmpl w:val="365CC1F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290B61"/>
    <w:multiLevelType w:val="multilevel"/>
    <w:tmpl w:val="7EA88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B03647"/>
    <w:multiLevelType w:val="multilevel"/>
    <w:tmpl w:val="DCCAEC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FD24030"/>
    <w:multiLevelType w:val="multilevel"/>
    <w:tmpl w:val="77D49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A47B8C"/>
    <w:multiLevelType w:val="multilevel"/>
    <w:tmpl w:val="103E6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AD05192"/>
    <w:multiLevelType w:val="hybridMultilevel"/>
    <w:tmpl w:val="3ED84E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7D946C06"/>
    <w:multiLevelType w:val="multilevel"/>
    <w:tmpl w:val="01F0B15C"/>
    <w:lvl w:ilvl="0">
      <w:start w:val="1"/>
      <w:numFmt w:val="bullet"/>
      <w:lvlText w:val="▪"/>
      <w:lvlJc w:val="left"/>
      <w:pPr>
        <w:ind w:left="1440" w:hanging="360"/>
      </w:pPr>
      <w:rPr>
        <w:rFonts w:ascii="Noto Sans Symbols" w:eastAsia="Noto Sans Symbols" w:hAnsi="Noto Sans Symbols" w:cs="Noto Sans Symbols"/>
        <w:color w:val="0067B2"/>
        <w:sz w:val="20"/>
        <w:szCs w:val="20"/>
      </w:rPr>
    </w:lvl>
    <w:lvl w:ilvl="1">
      <w:start w:val="1"/>
      <w:numFmt w:val="bullet"/>
      <w:lvlText w:val="−"/>
      <w:lvlJc w:val="left"/>
      <w:pPr>
        <w:ind w:left="2668" w:hanging="567"/>
      </w:pPr>
      <w:rPr>
        <w:rFonts w:ascii="Noto Sans Symbols" w:eastAsia="Noto Sans Symbols" w:hAnsi="Noto Sans Symbols" w:cs="Noto Sans Symbols"/>
        <w:color w:val="0067B2"/>
        <w:sz w:val="20"/>
        <w:szCs w:val="20"/>
      </w:rPr>
    </w:lvl>
    <w:lvl w:ilvl="2">
      <w:start w:val="1"/>
      <w:numFmt w:val="bullet"/>
      <w:lvlText w:val="−"/>
      <w:lvlJc w:val="left"/>
      <w:pPr>
        <w:ind w:left="3519" w:hanging="567"/>
      </w:pPr>
      <w:rPr>
        <w:rFonts w:ascii="Noto Sans Symbols" w:eastAsia="Noto Sans Symbols" w:hAnsi="Noto Sans Symbols" w:cs="Noto Sans Symbols"/>
        <w:color w:val="00AF71"/>
        <w:sz w:val="20"/>
        <w:szCs w:val="20"/>
      </w:rPr>
    </w:lvl>
    <w:lvl w:ilvl="3">
      <w:start w:val="1"/>
      <w:numFmt w:val="bullet"/>
      <w:lvlText w:val="−"/>
      <w:lvlJc w:val="left"/>
      <w:pPr>
        <w:ind w:left="4369" w:hanging="567"/>
      </w:pPr>
      <w:rPr>
        <w:rFonts w:ascii="Noto Sans Symbols" w:eastAsia="Noto Sans Symbols" w:hAnsi="Noto Sans Symbols" w:cs="Noto Sans Symbols"/>
        <w:color w:val="00AF71"/>
        <w:sz w:val="20"/>
        <w:szCs w:val="20"/>
      </w:rPr>
    </w:lvl>
    <w:lvl w:ilvl="4">
      <w:start w:val="1"/>
      <w:numFmt w:val="bullet"/>
      <w:lvlText w:val="−"/>
      <w:lvlJc w:val="left"/>
      <w:pPr>
        <w:ind w:left="5220" w:hanging="567"/>
      </w:pPr>
      <w:rPr>
        <w:rFonts w:ascii="Noto Sans Symbols" w:eastAsia="Noto Sans Symbols" w:hAnsi="Noto Sans Symbols" w:cs="Noto Sans Symbols"/>
        <w:color w:val="00AF71"/>
      </w:rPr>
    </w:lvl>
    <w:lvl w:ilvl="5">
      <w:start w:val="1"/>
      <w:numFmt w:val="decimal"/>
      <w:lvlText w:val=""/>
      <w:lvlJc w:val="left"/>
      <w:pPr>
        <w:ind w:left="6070" w:hanging="567"/>
      </w:pPr>
    </w:lvl>
    <w:lvl w:ilvl="6">
      <w:start w:val="1"/>
      <w:numFmt w:val="decimal"/>
      <w:lvlText w:val=""/>
      <w:lvlJc w:val="left"/>
      <w:pPr>
        <w:ind w:left="6921" w:hanging="567"/>
      </w:pPr>
    </w:lvl>
    <w:lvl w:ilvl="7">
      <w:start w:val="1"/>
      <w:numFmt w:val="decimal"/>
      <w:lvlText w:val=""/>
      <w:lvlJc w:val="left"/>
      <w:pPr>
        <w:ind w:left="7771" w:hanging="567"/>
      </w:pPr>
    </w:lvl>
    <w:lvl w:ilvl="8">
      <w:start w:val="1"/>
      <w:numFmt w:val="decimal"/>
      <w:lvlText w:val=""/>
      <w:lvlJc w:val="left"/>
      <w:pPr>
        <w:ind w:left="8622" w:hanging="567"/>
      </w:pPr>
    </w:lvl>
  </w:abstractNum>
  <w:num w:numId="1">
    <w:abstractNumId w:val="7"/>
  </w:num>
  <w:num w:numId="2">
    <w:abstractNumId w:val="0"/>
  </w:num>
  <w:num w:numId="3">
    <w:abstractNumId w:val="6"/>
  </w:num>
  <w:num w:numId="4">
    <w:abstractNumId w:val="4"/>
  </w:num>
  <w:num w:numId="5">
    <w:abstractNumId w:val="2"/>
  </w:num>
  <w:num w:numId="6">
    <w:abstractNumId w:val="8"/>
  </w:num>
  <w:num w:numId="7">
    <w:abstractNumId w:val="13"/>
  </w:num>
  <w:num w:numId="8">
    <w:abstractNumId w:val="11"/>
  </w:num>
  <w:num w:numId="9">
    <w:abstractNumId w:val="10"/>
  </w:num>
  <w:num w:numId="10">
    <w:abstractNumId w:val="5"/>
  </w:num>
  <w:num w:numId="11">
    <w:abstractNumId w:val="9"/>
  </w:num>
  <w:num w:numId="12">
    <w:abstractNumId w:val="1"/>
  </w:num>
  <w:num w:numId="13">
    <w:abstractNumId w:val="15"/>
  </w:num>
  <w:num w:numId="14">
    <w:abstractNumId w:val="12"/>
  </w:num>
  <w:num w:numId="15">
    <w:abstractNumId w:val="0"/>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5EB"/>
    <w:rsid w:val="00000E44"/>
    <w:rsid w:val="00014589"/>
    <w:rsid w:val="00020641"/>
    <w:rsid w:val="0003726D"/>
    <w:rsid w:val="00037ED9"/>
    <w:rsid w:val="00064150"/>
    <w:rsid w:val="0009443F"/>
    <w:rsid w:val="000A0A9E"/>
    <w:rsid w:val="000B0E51"/>
    <w:rsid w:val="000C4530"/>
    <w:rsid w:val="000D12FA"/>
    <w:rsid w:val="000D64AE"/>
    <w:rsid w:val="000E1B57"/>
    <w:rsid w:val="000E221B"/>
    <w:rsid w:val="000E3888"/>
    <w:rsid w:val="000F19F8"/>
    <w:rsid w:val="000F4BE1"/>
    <w:rsid w:val="00102FC2"/>
    <w:rsid w:val="00105A0A"/>
    <w:rsid w:val="001110A7"/>
    <w:rsid w:val="00117181"/>
    <w:rsid w:val="0013009C"/>
    <w:rsid w:val="00162C1D"/>
    <w:rsid w:val="001667BC"/>
    <w:rsid w:val="00170AF3"/>
    <w:rsid w:val="0018467F"/>
    <w:rsid w:val="00185366"/>
    <w:rsid w:val="001932E5"/>
    <w:rsid w:val="00197181"/>
    <w:rsid w:val="001A0E18"/>
    <w:rsid w:val="001A2EE7"/>
    <w:rsid w:val="001A2FBB"/>
    <w:rsid w:val="001A3CF2"/>
    <w:rsid w:val="001B682C"/>
    <w:rsid w:val="001B6B48"/>
    <w:rsid w:val="001C7695"/>
    <w:rsid w:val="001D0498"/>
    <w:rsid w:val="001D6316"/>
    <w:rsid w:val="001E0A56"/>
    <w:rsid w:val="001E2FF2"/>
    <w:rsid w:val="001E3FA1"/>
    <w:rsid w:val="001F1346"/>
    <w:rsid w:val="001F3078"/>
    <w:rsid w:val="0020718F"/>
    <w:rsid w:val="002136D4"/>
    <w:rsid w:val="002326D4"/>
    <w:rsid w:val="002626BA"/>
    <w:rsid w:val="002738AC"/>
    <w:rsid w:val="00273B7C"/>
    <w:rsid w:val="00275F4F"/>
    <w:rsid w:val="00285ECD"/>
    <w:rsid w:val="0029084E"/>
    <w:rsid w:val="00294E20"/>
    <w:rsid w:val="002B354E"/>
    <w:rsid w:val="002C053F"/>
    <w:rsid w:val="002C4CEC"/>
    <w:rsid w:val="002D5AEC"/>
    <w:rsid w:val="002E4957"/>
    <w:rsid w:val="00300644"/>
    <w:rsid w:val="00301D2C"/>
    <w:rsid w:val="0031583C"/>
    <w:rsid w:val="003316E4"/>
    <w:rsid w:val="00344683"/>
    <w:rsid w:val="0034760A"/>
    <w:rsid w:val="00353EA8"/>
    <w:rsid w:val="00356AD1"/>
    <w:rsid w:val="00360CF1"/>
    <w:rsid w:val="00371F23"/>
    <w:rsid w:val="003720A1"/>
    <w:rsid w:val="003907EF"/>
    <w:rsid w:val="00393A34"/>
    <w:rsid w:val="003A0B6A"/>
    <w:rsid w:val="003A3AC5"/>
    <w:rsid w:val="003B0500"/>
    <w:rsid w:val="003D27E5"/>
    <w:rsid w:val="003E2952"/>
    <w:rsid w:val="003E523C"/>
    <w:rsid w:val="003E5CFE"/>
    <w:rsid w:val="003F01EF"/>
    <w:rsid w:val="00403E5B"/>
    <w:rsid w:val="00404A01"/>
    <w:rsid w:val="00407161"/>
    <w:rsid w:val="0040748D"/>
    <w:rsid w:val="00410C91"/>
    <w:rsid w:val="00413C92"/>
    <w:rsid w:val="00423E5E"/>
    <w:rsid w:val="00430808"/>
    <w:rsid w:val="004352C3"/>
    <w:rsid w:val="00437FA0"/>
    <w:rsid w:val="004526D6"/>
    <w:rsid w:val="004641A5"/>
    <w:rsid w:val="0047306C"/>
    <w:rsid w:val="00481E2E"/>
    <w:rsid w:val="00482F94"/>
    <w:rsid w:val="00483BDD"/>
    <w:rsid w:val="004859A2"/>
    <w:rsid w:val="004B252F"/>
    <w:rsid w:val="004D221E"/>
    <w:rsid w:val="004E1208"/>
    <w:rsid w:val="004F1E13"/>
    <w:rsid w:val="004F4EDF"/>
    <w:rsid w:val="0050158E"/>
    <w:rsid w:val="005163A5"/>
    <w:rsid w:val="00521566"/>
    <w:rsid w:val="005247E7"/>
    <w:rsid w:val="00531888"/>
    <w:rsid w:val="00541E14"/>
    <w:rsid w:val="005456A0"/>
    <w:rsid w:val="00555C5C"/>
    <w:rsid w:val="00566D96"/>
    <w:rsid w:val="005802F5"/>
    <w:rsid w:val="00581FFD"/>
    <w:rsid w:val="00584218"/>
    <w:rsid w:val="005C47C5"/>
    <w:rsid w:val="005D03B0"/>
    <w:rsid w:val="005D633D"/>
    <w:rsid w:val="005E2E1D"/>
    <w:rsid w:val="005F7A73"/>
    <w:rsid w:val="005F7ED0"/>
    <w:rsid w:val="00601552"/>
    <w:rsid w:val="00612147"/>
    <w:rsid w:val="00615D00"/>
    <w:rsid w:val="00615EB2"/>
    <w:rsid w:val="00615EC4"/>
    <w:rsid w:val="00624A69"/>
    <w:rsid w:val="00631D3E"/>
    <w:rsid w:val="006370A2"/>
    <w:rsid w:val="00643B9C"/>
    <w:rsid w:val="00652385"/>
    <w:rsid w:val="0066591E"/>
    <w:rsid w:val="00666896"/>
    <w:rsid w:val="006679E3"/>
    <w:rsid w:val="00670167"/>
    <w:rsid w:val="00671E0F"/>
    <w:rsid w:val="00680288"/>
    <w:rsid w:val="00683BF0"/>
    <w:rsid w:val="00687E60"/>
    <w:rsid w:val="00693C21"/>
    <w:rsid w:val="00694154"/>
    <w:rsid w:val="00695217"/>
    <w:rsid w:val="006A57F6"/>
    <w:rsid w:val="006A764C"/>
    <w:rsid w:val="006E150B"/>
    <w:rsid w:val="006E2D5C"/>
    <w:rsid w:val="006E6F84"/>
    <w:rsid w:val="006F1717"/>
    <w:rsid w:val="006F5763"/>
    <w:rsid w:val="0072593A"/>
    <w:rsid w:val="007300A4"/>
    <w:rsid w:val="0073153D"/>
    <w:rsid w:val="007316D2"/>
    <w:rsid w:val="0077543E"/>
    <w:rsid w:val="00780EE4"/>
    <w:rsid w:val="007A1E5B"/>
    <w:rsid w:val="007B1DF5"/>
    <w:rsid w:val="007B2056"/>
    <w:rsid w:val="007B7542"/>
    <w:rsid w:val="007C5438"/>
    <w:rsid w:val="007E01E6"/>
    <w:rsid w:val="007E1E3B"/>
    <w:rsid w:val="007E4FDC"/>
    <w:rsid w:val="007E751B"/>
    <w:rsid w:val="008026D4"/>
    <w:rsid w:val="00806D5B"/>
    <w:rsid w:val="00812C5E"/>
    <w:rsid w:val="00817F49"/>
    <w:rsid w:val="00840A84"/>
    <w:rsid w:val="00843039"/>
    <w:rsid w:val="0085016C"/>
    <w:rsid w:val="00873B5D"/>
    <w:rsid w:val="00885F3F"/>
    <w:rsid w:val="00894132"/>
    <w:rsid w:val="008A6302"/>
    <w:rsid w:val="008B062D"/>
    <w:rsid w:val="009045EB"/>
    <w:rsid w:val="009173BB"/>
    <w:rsid w:val="00925900"/>
    <w:rsid w:val="00930052"/>
    <w:rsid w:val="00956AB2"/>
    <w:rsid w:val="00965EB0"/>
    <w:rsid w:val="00983D85"/>
    <w:rsid w:val="00990C49"/>
    <w:rsid w:val="009E2F00"/>
    <w:rsid w:val="009E5D30"/>
    <w:rsid w:val="009F652D"/>
    <w:rsid w:val="009F72A0"/>
    <w:rsid w:val="00A11160"/>
    <w:rsid w:val="00A12256"/>
    <w:rsid w:val="00A13017"/>
    <w:rsid w:val="00A33AB5"/>
    <w:rsid w:val="00A45BF8"/>
    <w:rsid w:val="00A56603"/>
    <w:rsid w:val="00A61412"/>
    <w:rsid w:val="00A72728"/>
    <w:rsid w:val="00A752B7"/>
    <w:rsid w:val="00AA12EA"/>
    <w:rsid w:val="00AC358E"/>
    <w:rsid w:val="00AC3CFD"/>
    <w:rsid w:val="00AC7A01"/>
    <w:rsid w:val="00AE1C79"/>
    <w:rsid w:val="00B00151"/>
    <w:rsid w:val="00B0133F"/>
    <w:rsid w:val="00B032E3"/>
    <w:rsid w:val="00B0614A"/>
    <w:rsid w:val="00B07F85"/>
    <w:rsid w:val="00B11846"/>
    <w:rsid w:val="00B150EF"/>
    <w:rsid w:val="00B26480"/>
    <w:rsid w:val="00B43AB1"/>
    <w:rsid w:val="00B56F7D"/>
    <w:rsid w:val="00B5737A"/>
    <w:rsid w:val="00B60DB4"/>
    <w:rsid w:val="00B611C6"/>
    <w:rsid w:val="00BB63A6"/>
    <w:rsid w:val="00BC011E"/>
    <w:rsid w:val="00BC7F5C"/>
    <w:rsid w:val="00BD37A7"/>
    <w:rsid w:val="00BD6E4A"/>
    <w:rsid w:val="00BD7CAA"/>
    <w:rsid w:val="00BD7FA7"/>
    <w:rsid w:val="00BE331D"/>
    <w:rsid w:val="00BE338A"/>
    <w:rsid w:val="00BE644F"/>
    <w:rsid w:val="00BF0C1B"/>
    <w:rsid w:val="00C10318"/>
    <w:rsid w:val="00C1266B"/>
    <w:rsid w:val="00C126F9"/>
    <w:rsid w:val="00C13FAA"/>
    <w:rsid w:val="00C23851"/>
    <w:rsid w:val="00C25977"/>
    <w:rsid w:val="00C2674B"/>
    <w:rsid w:val="00C402ED"/>
    <w:rsid w:val="00C42C01"/>
    <w:rsid w:val="00C44CC4"/>
    <w:rsid w:val="00C539D4"/>
    <w:rsid w:val="00C54B8C"/>
    <w:rsid w:val="00C62DF9"/>
    <w:rsid w:val="00C70BF1"/>
    <w:rsid w:val="00C71772"/>
    <w:rsid w:val="00C77607"/>
    <w:rsid w:val="00C8118B"/>
    <w:rsid w:val="00C84CB0"/>
    <w:rsid w:val="00C86853"/>
    <w:rsid w:val="00C95573"/>
    <w:rsid w:val="00CA0791"/>
    <w:rsid w:val="00CA10FA"/>
    <w:rsid w:val="00CA6027"/>
    <w:rsid w:val="00CB5757"/>
    <w:rsid w:val="00CB5E32"/>
    <w:rsid w:val="00CD78D1"/>
    <w:rsid w:val="00CF2ED5"/>
    <w:rsid w:val="00D01375"/>
    <w:rsid w:val="00D12A32"/>
    <w:rsid w:val="00D2779B"/>
    <w:rsid w:val="00D46DBD"/>
    <w:rsid w:val="00D64A48"/>
    <w:rsid w:val="00D73077"/>
    <w:rsid w:val="00D81348"/>
    <w:rsid w:val="00D84109"/>
    <w:rsid w:val="00D9290A"/>
    <w:rsid w:val="00D96F82"/>
    <w:rsid w:val="00D97CD9"/>
    <w:rsid w:val="00DA2CD2"/>
    <w:rsid w:val="00DB5009"/>
    <w:rsid w:val="00DD5D33"/>
    <w:rsid w:val="00E15763"/>
    <w:rsid w:val="00E25927"/>
    <w:rsid w:val="00E6326F"/>
    <w:rsid w:val="00E66518"/>
    <w:rsid w:val="00E7066B"/>
    <w:rsid w:val="00E7443C"/>
    <w:rsid w:val="00E77665"/>
    <w:rsid w:val="00E866FA"/>
    <w:rsid w:val="00E95BB0"/>
    <w:rsid w:val="00E9666A"/>
    <w:rsid w:val="00E9697D"/>
    <w:rsid w:val="00EA0DE7"/>
    <w:rsid w:val="00EB006D"/>
    <w:rsid w:val="00EB0DCB"/>
    <w:rsid w:val="00EB3C6F"/>
    <w:rsid w:val="00EB7C5E"/>
    <w:rsid w:val="00EC02F6"/>
    <w:rsid w:val="00EC33D3"/>
    <w:rsid w:val="00ED294C"/>
    <w:rsid w:val="00ED39CC"/>
    <w:rsid w:val="00EE0D63"/>
    <w:rsid w:val="00EE10AA"/>
    <w:rsid w:val="00EF4429"/>
    <w:rsid w:val="00EF6658"/>
    <w:rsid w:val="00F00040"/>
    <w:rsid w:val="00F01B80"/>
    <w:rsid w:val="00F0509F"/>
    <w:rsid w:val="00F063DB"/>
    <w:rsid w:val="00F11E09"/>
    <w:rsid w:val="00F16B32"/>
    <w:rsid w:val="00F30619"/>
    <w:rsid w:val="00F31DE1"/>
    <w:rsid w:val="00F379D6"/>
    <w:rsid w:val="00F46C1C"/>
    <w:rsid w:val="00F56726"/>
    <w:rsid w:val="00F704FE"/>
    <w:rsid w:val="00F74036"/>
    <w:rsid w:val="00F953A9"/>
    <w:rsid w:val="00FA1955"/>
    <w:rsid w:val="00FA4FF4"/>
    <w:rsid w:val="00FB02EF"/>
    <w:rsid w:val="00FB1781"/>
    <w:rsid w:val="00FB7A2C"/>
    <w:rsid w:val="00FC708E"/>
    <w:rsid w:val="00FD0200"/>
    <w:rsid w:val="00FD1E9C"/>
    <w:rsid w:val="00FD243C"/>
    <w:rsid w:val="00FE10FB"/>
    <w:rsid w:val="00FE3AD2"/>
    <w:rsid w:val="00FF1C2A"/>
    <w:rsid w:val="00FF46F8"/>
    <w:rsid w:val="00FF4A75"/>
    <w:rsid w:val="00FF6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C3F19"/>
  <w15:docId w15:val="{BFE8DC4E-4FBC-4D17-8E98-A45D7FD0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lang w:val="en-ZA" w:eastAsia="en-GB"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4E6475"/>
    <w:rPr>
      <w:rFonts w:eastAsia="Times New Roman" w:cs="Times New Roman"/>
      <w:szCs w:val="24"/>
      <w:lang w:val="en-GB"/>
    </w:rPr>
  </w:style>
  <w:style w:type="paragraph" w:styleId="Heading1">
    <w:name w:val="heading 1"/>
    <w:next w:val="Normal"/>
    <w:link w:val="Heading1Char"/>
    <w:uiPriority w:val="9"/>
    <w:qFormat/>
    <w:rsid w:val="00273750"/>
    <w:pPr>
      <w:keepNext/>
      <w:keepLines/>
      <w:numPr>
        <w:numId w:val="2"/>
      </w:numPr>
      <w:spacing w:before="240" w:after="120"/>
      <w:outlineLvl w:val="0"/>
    </w:pPr>
    <w:rPr>
      <w:rFonts w:eastAsiaTheme="majorEastAsia" w:cstheme="minorHAnsi"/>
      <w:b/>
      <w:color w:val="000F14"/>
      <w:sz w:val="28"/>
      <w:szCs w:val="56"/>
    </w:rPr>
  </w:style>
  <w:style w:type="paragraph" w:styleId="Heading2">
    <w:name w:val="heading 2"/>
    <w:next w:val="Normal"/>
    <w:link w:val="Heading2Char"/>
    <w:uiPriority w:val="9"/>
    <w:unhideWhenUsed/>
    <w:qFormat/>
    <w:rsid w:val="00FD63FF"/>
    <w:pPr>
      <w:keepNext/>
      <w:keepLines/>
      <w:numPr>
        <w:ilvl w:val="1"/>
        <w:numId w:val="2"/>
      </w:numPr>
      <w:spacing w:before="240" w:after="120"/>
      <w:outlineLvl w:val="1"/>
    </w:pPr>
    <w:rPr>
      <w:rFonts w:ascii="Arial" w:eastAsiaTheme="majorEastAsia" w:hAnsi="Arial" w:cs="Arial"/>
      <w:b/>
      <w:bCs/>
      <w:color w:val="267E98"/>
      <w:sz w:val="22"/>
      <w:szCs w:val="26"/>
    </w:rPr>
  </w:style>
  <w:style w:type="paragraph" w:styleId="Heading3">
    <w:name w:val="heading 3"/>
    <w:next w:val="Normal"/>
    <w:link w:val="Heading3Char"/>
    <w:uiPriority w:val="9"/>
    <w:unhideWhenUsed/>
    <w:qFormat/>
    <w:rsid w:val="00F06D25"/>
    <w:pPr>
      <w:keepNext/>
      <w:keepLines/>
      <w:numPr>
        <w:ilvl w:val="2"/>
        <w:numId w:val="2"/>
      </w:numPr>
      <w:spacing w:before="240" w:after="120"/>
      <w:outlineLvl w:val="2"/>
    </w:pPr>
    <w:rPr>
      <w:rFonts w:ascii="Arial" w:eastAsiaTheme="majorEastAsia" w:hAnsi="Arial" w:cstheme="majorBidi"/>
      <w:bCs/>
      <w:color w:val="1C6194" w:themeColor="accent6" w:themeShade="BF"/>
      <w:szCs w:val="22"/>
    </w:rPr>
  </w:style>
  <w:style w:type="paragraph" w:styleId="Heading4">
    <w:name w:val="heading 4"/>
    <w:aliases w:val="Map Title"/>
    <w:basedOn w:val="Heading3"/>
    <w:next w:val="Normal"/>
    <w:link w:val="Heading4Char"/>
    <w:uiPriority w:val="9"/>
    <w:semiHidden/>
    <w:unhideWhenUsed/>
    <w:qFormat/>
    <w:rsid w:val="00C32E8A"/>
    <w:pPr>
      <w:numPr>
        <w:ilvl w:val="3"/>
      </w:numPr>
      <w:outlineLvl w:val="3"/>
    </w:pPr>
    <w:rPr>
      <w:b/>
      <w:bCs w:val="0"/>
      <w:iCs/>
    </w:rPr>
  </w:style>
  <w:style w:type="paragraph" w:styleId="Heading5">
    <w:name w:val="heading 5"/>
    <w:basedOn w:val="Normal"/>
    <w:next w:val="Normal"/>
    <w:link w:val="Heading5Char"/>
    <w:uiPriority w:val="9"/>
    <w:semiHidden/>
    <w:unhideWhenUsed/>
    <w:qFormat/>
    <w:rsid w:val="00C92724"/>
    <w:pPr>
      <w:keepNext/>
      <w:keepLines/>
      <w:numPr>
        <w:ilvl w:val="4"/>
        <w:numId w:val="2"/>
      </w:numPr>
      <w:spacing w:before="200"/>
      <w:outlineLvl w:val="4"/>
    </w:pPr>
    <w:rPr>
      <w:rFonts w:asciiTheme="majorHAnsi" w:eastAsiaTheme="majorEastAsia" w:hAnsiTheme="majorHAnsi" w:cstheme="majorBidi"/>
      <w:color w:val="1A495C" w:themeColor="accent1" w:themeShade="7F"/>
    </w:rPr>
  </w:style>
  <w:style w:type="paragraph" w:styleId="Heading6">
    <w:name w:val="heading 6"/>
    <w:basedOn w:val="Heading2"/>
    <w:next w:val="BodyText"/>
    <w:link w:val="Heading6Char"/>
    <w:uiPriority w:val="9"/>
    <w:semiHidden/>
    <w:unhideWhenUsed/>
    <w:qFormat/>
    <w:rsid w:val="004E6475"/>
    <w:pPr>
      <w:keepLines w:val="0"/>
      <w:numPr>
        <w:ilvl w:val="0"/>
        <w:numId w:val="0"/>
      </w:numPr>
      <w:tabs>
        <w:tab w:val="left" w:pos="-1418"/>
      </w:tabs>
      <w:overflowPunct w:val="0"/>
      <w:autoSpaceDE w:val="0"/>
      <w:autoSpaceDN w:val="0"/>
      <w:adjustRightInd w:val="0"/>
      <w:spacing w:after="60" w:line="312" w:lineRule="auto"/>
      <w:ind w:hanging="1985"/>
      <w:textAlignment w:val="baseline"/>
      <w:outlineLvl w:val="5"/>
    </w:pPr>
    <w:rPr>
      <w:rFonts w:ascii="Verdana" w:eastAsia="Times New Roman" w:hAnsi="Verdana" w:cs="Times New Roman"/>
      <w:color w:val="auto"/>
      <w:szCs w:val="22"/>
      <w:lang w:val="en-NZ" w:bidi="ar-DZ"/>
    </w:rPr>
  </w:style>
  <w:style w:type="paragraph" w:styleId="Heading7">
    <w:name w:val="heading 7"/>
    <w:basedOn w:val="Normal"/>
    <w:next w:val="Normal"/>
    <w:link w:val="Heading7Char"/>
    <w:qFormat/>
    <w:rsid w:val="004E6475"/>
    <w:pPr>
      <w:tabs>
        <w:tab w:val="num" w:pos="0"/>
      </w:tabs>
      <w:spacing w:before="240" w:after="60"/>
      <w:jc w:val="both"/>
      <w:outlineLvl w:val="6"/>
    </w:pPr>
    <w:rPr>
      <w:lang w:val="en-NZ" w:eastAsia="en-US" w:bidi="ar-DZ"/>
    </w:rPr>
  </w:style>
  <w:style w:type="paragraph" w:styleId="Heading8">
    <w:name w:val="heading 8"/>
    <w:basedOn w:val="Normal"/>
    <w:next w:val="Normal"/>
    <w:link w:val="Heading8Char"/>
    <w:qFormat/>
    <w:rsid w:val="004E6475"/>
    <w:pPr>
      <w:tabs>
        <w:tab w:val="num" w:pos="1440"/>
      </w:tabs>
      <w:spacing w:before="240" w:after="60"/>
      <w:ind w:left="1440" w:hanging="1440"/>
      <w:jc w:val="both"/>
      <w:outlineLvl w:val="7"/>
    </w:pPr>
    <w:rPr>
      <w:i/>
      <w:iCs/>
      <w:lang w:val="en-NZ" w:eastAsia="en-US"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691E"/>
    <w:pPr>
      <w:spacing w:line="240" w:lineRule="auto"/>
      <w:contextualSpacing/>
    </w:pPr>
    <w:rPr>
      <w:rFonts w:asciiTheme="majorHAnsi" w:eastAsiaTheme="majorEastAsia" w:hAnsiTheme="majorHAnsi" w:cstheme="majorBidi"/>
      <w:color w:val="008000"/>
      <w:spacing w:val="-10"/>
      <w:kern w:val="28"/>
      <w:sz w:val="56"/>
      <w:szCs w:val="56"/>
    </w:rPr>
  </w:style>
  <w:style w:type="character" w:customStyle="1" w:styleId="Heading1Char">
    <w:name w:val="Heading 1 Char"/>
    <w:basedOn w:val="DefaultParagraphFont"/>
    <w:link w:val="Heading1"/>
    <w:rsid w:val="00273750"/>
    <w:rPr>
      <w:rFonts w:eastAsiaTheme="majorEastAsia" w:cstheme="minorHAnsi"/>
      <w:b/>
      <w:color w:val="000F14"/>
      <w:sz w:val="28"/>
      <w:szCs w:val="56"/>
    </w:rPr>
  </w:style>
  <w:style w:type="paragraph" w:customStyle="1" w:styleId="Default">
    <w:name w:val="Default"/>
    <w:basedOn w:val="Normal"/>
    <w:unhideWhenUsed/>
    <w:rsid w:val="0041211E"/>
  </w:style>
  <w:style w:type="paragraph" w:customStyle="1" w:styleId="PreparedByList">
    <w:name w:val="Prepared By List"/>
    <w:basedOn w:val="Default"/>
    <w:next w:val="Normal"/>
    <w:uiPriority w:val="1"/>
    <w:rsid w:val="005824BA"/>
  </w:style>
  <w:style w:type="paragraph" w:styleId="ListParagraph">
    <w:name w:val="List Paragraph"/>
    <w:aliases w:val="Bulleted List"/>
    <w:uiPriority w:val="34"/>
    <w:qFormat/>
    <w:rsid w:val="005824BA"/>
    <w:pPr>
      <w:numPr>
        <w:numId w:val="5"/>
      </w:numPr>
      <w:ind w:left="340" w:hanging="227"/>
      <w:contextualSpacing/>
      <w:outlineLvl w:val="0"/>
    </w:pPr>
    <w:rPr>
      <w:rFonts w:ascii="Arial" w:eastAsiaTheme="minorHAnsi" w:hAnsi="Arial"/>
      <w:sz w:val="22"/>
    </w:rPr>
  </w:style>
  <w:style w:type="paragraph" w:customStyle="1" w:styleId="ContentsPage">
    <w:name w:val="Contents Page"/>
    <w:uiPriority w:val="2"/>
    <w:rsid w:val="005824BA"/>
    <w:rPr>
      <w:rFonts w:ascii="Arial" w:eastAsiaTheme="minorHAnsi" w:hAnsi="Arial"/>
    </w:rPr>
  </w:style>
  <w:style w:type="character" w:customStyle="1" w:styleId="Heading2Char">
    <w:name w:val="Heading 2 Char"/>
    <w:basedOn w:val="DefaultParagraphFont"/>
    <w:link w:val="Heading2"/>
    <w:rsid w:val="00FD63FF"/>
    <w:rPr>
      <w:rFonts w:ascii="Arial" w:eastAsiaTheme="majorEastAsia" w:hAnsi="Arial" w:cs="Arial"/>
      <w:b/>
      <w:bCs/>
      <w:color w:val="267E98"/>
      <w:sz w:val="22"/>
      <w:szCs w:val="26"/>
    </w:rPr>
  </w:style>
  <w:style w:type="paragraph" w:styleId="BalloonText">
    <w:name w:val="Balloon Text"/>
    <w:basedOn w:val="Normal"/>
    <w:link w:val="BalloonTextChar"/>
    <w:uiPriority w:val="99"/>
    <w:semiHidden/>
    <w:unhideWhenUsed/>
    <w:rsid w:val="00936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679D"/>
    <w:rPr>
      <w:rFonts w:ascii="Lucida Grande" w:eastAsiaTheme="minorHAnsi" w:hAnsi="Lucida Grande" w:cs="Lucida Grande"/>
      <w:color w:val="262626" w:themeColor="text1" w:themeTint="D9"/>
      <w:sz w:val="18"/>
      <w:szCs w:val="18"/>
    </w:rPr>
  </w:style>
  <w:style w:type="paragraph" w:styleId="NoSpacing">
    <w:name w:val="No Spacing"/>
    <w:uiPriority w:val="2"/>
    <w:semiHidden/>
    <w:rsid w:val="005824BA"/>
    <w:pPr>
      <w:jc w:val="right"/>
    </w:pPr>
    <w:rPr>
      <w:rFonts w:ascii="Arial" w:eastAsiaTheme="minorHAnsi" w:hAnsi="Arial"/>
      <w:szCs w:val="22"/>
    </w:rPr>
  </w:style>
  <w:style w:type="table" w:styleId="TableGrid">
    <w:name w:val="Table Grid"/>
    <w:basedOn w:val="TableNormal"/>
    <w:uiPriority w:val="39"/>
    <w:rsid w:val="00DE3E55"/>
    <w:pPr>
      <w:spacing w:before="40" w:after="40"/>
    </w:pPr>
    <w:rPr>
      <w:rFonts w:eastAsiaTheme="minorHAnsi"/>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themeColor="background1"/>
      </w:rPr>
      <w:tblPr/>
      <w:tcPr>
        <w:shd w:val="clear" w:color="auto" w:fill="373545" w:themeFill="text2"/>
      </w:tcPr>
    </w:tblStylePr>
    <w:tblStylePr w:type="lastRow">
      <w:rPr>
        <w:color w:val="FFFFFF" w:themeColor="background1"/>
      </w:rPr>
      <w:tblPr/>
      <w:tcPr>
        <w:shd w:val="clear" w:color="auto" w:fill="373545" w:themeFill="text2"/>
      </w:tcPr>
    </w:tblStylePr>
    <w:tblStylePr w:type="firstCol">
      <w:rPr>
        <w:color w:val="373545" w:themeColor="text2"/>
      </w:rPr>
    </w:tblStylePr>
    <w:tblStylePr w:type="band2Horz">
      <w:tblPr/>
      <w:tcPr>
        <w:shd w:val="clear" w:color="auto" w:fill="CCCCCC" w:themeFill="text1" w:themeFillTint="33"/>
      </w:tcPr>
    </w:tblStylePr>
  </w:style>
  <w:style w:type="paragraph" w:customStyle="1" w:styleId="ChapterHeading">
    <w:name w:val="Chapter Heading"/>
    <w:link w:val="ChapterHeadingChar"/>
    <w:rsid w:val="004916EB"/>
    <w:pPr>
      <w:spacing w:before="120" w:after="120"/>
    </w:pPr>
    <w:rPr>
      <w:rFonts w:ascii="Arial" w:eastAsiaTheme="majorEastAsia" w:hAnsi="Arial" w:cstheme="majorBidi"/>
      <w:b/>
      <w:color w:val="00AF72"/>
      <w:sz w:val="40"/>
      <w:szCs w:val="56"/>
    </w:rPr>
  </w:style>
  <w:style w:type="paragraph" w:customStyle="1" w:styleId="ChapterIntro">
    <w:name w:val="Chapter Intro"/>
    <w:uiPriority w:val="1"/>
    <w:qFormat/>
    <w:rsid w:val="002D691E"/>
    <w:rPr>
      <w:rFonts w:ascii="Arial" w:eastAsiaTheme="minorHAnsi" w:hAnsi="Arial"/>
      <w:i/>
      <w:color w:val="008000"/>
      <w:szCs w:val="22"/>
    </w:rPr>
  </w:style>
  <w:style w:type="paragraph" w:customStyle="1" w:styleId="NestedHeading">
    <w:name w:val="Nested Heading"/>
    <w:uiPriority w:val="2"/>
    <w:unhideWhenUsed/>
    <w:rsid w:val="0014227E"/>
    <w:rPr>
      <w:rFonts w:ascii="Arial" w:eastAsiaTheme="majorEastAsia" w:hAnsi="Arial" w:cstheme="majorBidi"/>
      <w:b/>
      <w:bCs/>
      <w:smallCaps/>
      <w:color w:val="00AF72"/>
    </w:rPr>
  </w:style>
  <w:style w:type="table" w:styleId="LightShading-Accent3">
    <w:name w:val="Light Shading Accent 3"/>
    <w:basedOn w:val="TableNormal"/>
    <w:uiPriority w:val="60"/>
    <w:rsid w:val="00C00B06"/>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paragraph" w:styleId="Header">
    <w:name w:val="header"/>
    <w:link w:val="HeaderChar"/>
    <w:uiPriority w:val="99"/>
    <w:unhideWhenUsed/>
    <w:rsid w:val="00F51658"/>
    <w:pPr>
      <w:tabs>
        <w:tab w:val="center" w:pos="4320"/>
        <w:tab w:val="right" w:pos="8640"/>
      </w:tabs>
    </w:pPr>
    <w:rPr>
      <w:rFonts w:ascii="Arial" w:eastAsiaTheme="minorHAnsi" w:hAnsi="Arial"/>
    </w:rPr>
  </w:style>
  <w:style w:type="character" w:customStyle="1" w:styleId="HeaderChar">
    <w:name w:val="Header Char"/>
    <w:basedOn w:val="DefaultParagraphFont"/>
    <w:link w:val="Header"/>
    <w:uiPriority w:val="99"/>
    <w:rsid w:val="00F51658"/>
    <w:rPr>
      <w:rFonts w:ascii="Arial" w:eastAsiaTheme="minorHAnsi" w:hAnsi="Arial"/>
      <w:color w:val="auto"/>
    </w:rPr>
  </w:style>
  <w:style w:type="paragraph" w:styleId="Footer">
    <w:name w:val="footer"/>
    <w:link w:val="FooterChar"/>
    <w:uiPriority w:val="99"/>
    <w:rsid w:val="00D424E1"/>
    <w:pPr>
      <w:tabs>
        <w:tab w:val="center" w:pos="4320"/>
        <w:tab w:val="right" w:pos="8640"/>
      </w:tabs>
    </w:pPr>
    <w:rPr>
      <w:rFonts w:ascii="Arial" w:eastAsiaTheme="minorHAnsi" w:hAnsi="Arial"/>
      <w:color w:val="262626" w:themeColor="text1" w:themeTint="D9"/>
      <w:sz w:val="18"/>
      <w:szCs w:val="22"/>
    </w:rPr>
  </w:style>
  <w:style w:type="character" w:customStyle="1" w:styleId="FooterChar">
    <w:name w:val="Footer Char"/>
    <w:basedOn w:val="DefaultParagraphFont"/>
    <w:link w:val="Footer"/>
    <w:uiPriority w:val="99"/>
    <w:rsid w:val="00271278"/>
    <w:rPr>
      <w:rFonts w:ascii="Arial" w:eastAsiaTheme="minorHAnsi" w:hAnsi="Arial"/>
      <w:color w:val="262626" w:themeColor="text1" w:themeTint="D9"/>
      <w:sz w:val="18"/>
      <w:szCs w:val="22"/>
    </w:rPr>
  </w:style>
  <w:style w:type="character" w:styleId="Emphasis">
    <w:name w:val="Emphasis"/>
    <w:basedOn w:val="DefaultParagraphFont"/>
    <w:uiPriority w:val="1"/>
    <w:rsid w:val="005824BA"/>
    <w:rPr>
      <w:rFonts w:asciiTheme="minorHAnsi" w:hAnsiTheme="minorHAnsi"/>
      <w:b/>
      <w:i w:val="0"/>
      <w:iCs/>
      <w:color w:val="000000"/>
    </w:rPr>
  </w:style>
  <w:style w:type="paragraph" w:customStyle="1" w:styleId="DocumentHeader">
    <w:name w:val="Document Header"/>
    <w:basedOn w:val="NoSpacing"/>
    <w:uiPriority w:val="2"/>
    <w:rsid w:val="005824BA"/>
    <w:pPr>
      <w:spacing w:before="240" w:after="240"/>
    </w:pPr>
    <w:rPr>
      <w:sz w:val="14"/>
    </w:rPr>
  </w:style>
  <w:style w:type="character" w:styleId="Hyperlink">
    <w:name w:val="Hyperlink"/>
    <w:basedOn w:val="DefaultParagraphFont"/>
    <w:uiPriority w:val="99"/>
    <w:unhideWhenUsed/>
    <w:rsid w:val="008E1020"/>
    <w:rPr>
      <w:color w:val="6B9F25" w:themeColor="hyperlink"/>
      <w:u w:val="single"/>
    </w:rPr>
  </w:style>
  <w:style w:type="table" w:styleId="LightShading">
    <w:name w:val="Light Shading"/>
    <w:aliases w:val="GreenCape Table"/>
    <w:basedOn w:val="TableGrid"/>
    <w:uiPriority w:val="60"/>
    <w:rsid w:val="00A31631"/>
    <w:rPr>
      <w:rFonts w:ascii="Arial" w:hAnsi="Arial"/>
      <w:sz w:val="20"/>
    </w:rPr>
    <w:tblPr>
      <w:tblStyleColBandSize w:val="1"/>
    </w:tblPr>
    <w:tblStylePr w:type="firstRow">
      <w:pPr>
        <w:spacing w:before="0" w:after="0" w:line="240" w:lineRule="auto"/>
      </w:pPr>
      <w:rPr>
        <w:rFonts w:ascii="Arial" w:hAnsi="Arial"/>
        <w:b/>
        <w:bCs/>
        <w:color w:val="FFFFFF" w:themeColor="background1"/>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F71"/>
      </w:tcPr>
    </w:tblStylePr>
    <w:tblStylePr w:type="lastRow">
      <w:pPr>
        <w:spacing w:before="0" w:after="0" w:line="240" w:lineRule="auto"/>
      </w:pPr>
      <w:rPr>
        <w:rFonts w:ascii="Arial" w:hAnsi="Arial"/>
        <w:b w:val="0"/>
        <w:bCs/>
        <w:color w:val="FFFFFF" w:themeColor="background1"/>
        <w:sz w:val="16"/>
      </w:rPr>
      <w:tblPr/>
      <w:tcPr>
        <w:shd w:val="clear" w:color="auto" w:fill="00AF71"/>
      </w:tcPr>
    </w:tblStylePr>
    <w:tblStylePr w:type="firstCol">
      <w:rPr>
        <w:b/>
        <w:bCs/>
        <w:color w:val="00AF71"/>
        <w:sz w:val="16"/>
      </w:rPr>
    </w:tblStylePr>
    <w:tblStylePr w:type="lastCol">
      <w:rPr>
        <w:b w:val="0"/>
        <w:bCs/>
        <w:sz w:val="16"/>
      </w:rPr>
    </w:tblStylePr>
    <w:tblStylePr w:type="band1Horz">
      <w:tblPr/>
      <w:tcPr>
        <w:shd w:val="clear" w:color="auto" w:fill="FFFFFF" w:themeFill="background1"/>
      </w:tcPr>
    </w:tblStylePr>
    <w:tblStylePr w:type="band2Horz">
      <w:tblPr/>
      <w:tcPr>
        <w:shd w:val="clear" w:color="auto" w:fill="F2F2F2"/>
      </w:tcPr>
    </w:tblStylePr>
  </w:style>
  <w:style w:type="table" w:styleId="LightShading-Accent1">
    <w:name w:val="Light Shading Accent 1"/>
    <w:basedOn w:val="TableNormal"/>
    <w:uiPriority w:val="60"/>
    <w:rsid w:val="00463F71"/>
    <w:rPr>
      <w:color w:val="276E8B" w:themeColor="accent1" w:themeShade="BF"/>
      <w:sz w:val="22"/>
      <w:szCs w:val="22"/>
      <w:lang w:val="en-US" w:eastAsia="zh-TW"/>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character" w:styleId="PageNumber">
    <w:name w:val="page number"/>
    <w:basedOn w:val="DefaultParagraphFont"/>
    <w:uiPriority w:val="99"/>
    <w:semiHidden/>
    <w:unhideWhenUsed/>
    <w:rsid w:val="00463F71"/>
  </w:style>
  <w:style w:type="paragraph" w:styleId="FootnoteText">
    <w:name w:val="footnote text"/>
    <w:link w:val="FootnoteTextChar"/>
    <w:autoRedefine/>
    <w:uiPriority w:val="99"/>
    <w:unhideWhenUsed/>
    <w:qFormat/>
    <w:rsid w:val="00666896"/>
    <w:rPr>
      <w:rFonts w:ascii="Arial" w:eastAsiaTheme="minorHAnsi" w:hAnsi="Arial"/>
      <w:color w:val="808080" w:themeColor="background1" w:themeShade="80"/>
      <w:sz w:val="16"/>
    </w:rPr>
  </w:style>
  <w:style w:type="character" w:customStyle="1" w:styleId="FootnoteTextChar">
    <w:name w:val="Footnote Text Char"/>
    <w:basedOn w:val="DefaultParagraphFont"/>
    <w:link w:val="FootnoteText"/>
    <w:uiPriority w:val="99"/>
    <w:rsid w:val="00666896"/>
    <w:rPr>
      <w:rFonts w:ascii="Arial" w:eastAsiaTheme="minorHAnsi" w:hAnsi="Arial"/>
      <w:color w:val="808080" w:themeColor="background1" w:themeShade="80"/>
      <w:sz w:val="16"/>
    </w:rPr>
  </w:style>
  <w:style w:type="character" w:styleId="FootnoteReference">
    <w:name w:val="footnote reference"/>
    <w:basedOn w:val="DefaultParagraphFont"/>
    <w:uiPriority w:val="99"/>
    <w:unhideWhenUsed/>
    <w:rsid w:val="00956F2B"/>
    <w:rPr>
      <w:vertAlign w:val="superscript"/>
    </w:rPr>
  </w:style>
  <w:style w:type="paragraph" w:customStyle="1" w:styleId="ListofAcronyms">
    <w:name w:val="List of Acronyms"/>
    <w:uiPriority w:val="1"/>
    <w:rsid w:val="005824BA"/>
    <w:rPr>
      <w:rFonts w:ascii="Arial" w:eastAsiaTheme="minorHAnsi" w:hAnsi="Arial"/>
      <w:sz w:val="22"/>
      <w:szCs w:val="22"/>
    </w:rPr>
  </w:style>
  <w:style w:type="paragraph" w:customStyle="1" w:styleId="Footnote">
    <w:name w:val="Footnote"/>
    <w:uiPriority w:val="2"/>
    <w:semiHidden/>
    <w:rsid w:val="005824BA"/>
    <w:rPr>
      <w:rFonts w:ascii="Arial" w:eastAsiaTheme="minorHAnsi" w:hAnsi="Arial"/>
      <w:sz w:val="18"/>
    </w:rPr>
  </w:style>
  <w:style w:type="paragraph" w:customStyle="1" w:styleId="TableTitle">
    <w:name w:val="Table Title"/>
    <w:uiPriority w:val="2"/>
    <w:semiHidden/>
    <w:rsid w:val="0014227E"/>
    <w:rPr>
      <w:rFonts w:ascii="Arial" w:eastAsiaTheme="majorEastAsia" w:hAnsi="Arial" w:cstheme="majorBidi"/>
      <w:b/>
      <w:bCs/>
      <w:color w:val="00AF72"/>
      <w:szCs w:val="26"/>
    </w:rPr>
  </w:style>
  <w:style w:type="paragraph" w:customStyle="1" w:styleId="ListParagraphIndented">
    <w:name w:val="List Paragraph Indented"/>
    <w:basedOn w:val="ListParagraph"/>
    <w:uiPriority w:val="2"/>
    <w:unhideWhenUsed/>
    <w:rsid w:val="00FF2A17"/>
    <w:pPr>
      <w:ind w:left="2520"/>
    </w:pPr>
  </w:style>
  <w:style w:type="paragraph" w:customStyle="1" w:styleId="Style1">
    <w:name w:val="Style1"/>
    <w:uiPriority w:val="2"/>
    <w:semiHidden/>
    <w:rsid w:val="0014227E"/>
    <w:rPr>
      <w:rFonts w:ascii="Arial" w:eastAsiaTheme="majorEastAsia" w:hAnsi="Arial" w:cstheme="majorBidi"/>
      <w:b/>
      <w:color w:val="00AF72"/>
      <w:szCs w:val="56"/>
    </w:rPr>
  </w:style>
  <w:style w:type="paragraph" w:customStyle="1" w:styleId="DashedList">
    <w:name w:val="Dashed List"/>
    <w:basedOn w:val="ListParagraph"/>
    <w:uiPriority w:val="2"/>
    <w:unhideWhenUsed/>
    <w:rsid w:val="00E91D85"/>
    <w:pPr>
      <w:numPr>
        <w:numId w:val="1"/>
      </w:numPr>
    </w:pPr>
  </w:style>
  <w:style w:type="paragraph" w:styleId="TOC2">
    <w:name w:val="toc 2"/>
    <w:uiPriority w:val="39"/>
    <w:unhideWhenUsed/>
    <w:rsid w:val="0041211E"/>
    <w:pPr>
      <w:ind w:left="198"/>
    </w:pPr>
    <w:rPr>
      <w:rFonts w:ascii="Arial" w:eastAsiaTheme="minorHAnsi" w:hAnsi="Arial"/>
      <w:szCs w:val="22"/>
    </w:rPr>
  </w:style>
  <w:style w:type="paragraph" w:styleId="TOC1">
    <w:name w:val="toc 1"/>
    <w:uiPriority w:val="39"/>
    <w:unhideWhenUsed/>
    <w:rsid w:val="0041211E"/>
    <w:rPr>
      <w:rFonts w:ascii="Arial" w:eastAsiaTheme="minorHAnsi" w:hAnsi="Arial"/>
      <w:szCs w:val="22"/>
    </w:rPr>
  </w:style>
  <w:style w:type="paragraph" w:styleId="TOC3">
    <w:name w:val="toc 3"/>
    <w:uiPriority w:val="39"/>
    <w:unhideWhenUsed/>
    <w:rsid w:val="0041211E"/>
    <w:pPr>
      <w:ind w:left="403"/>
    </w:pPr>
    <w:rPr>
      <w:rFonts w:ascii="Arial" w:eastAsiaTheme="minorHAnsi" w:hAnsi="Arial"/>
      <w:szCs w:val="22"/>
    </w:rPr>
  </w:style>
  <w:style w:type="paragraph" w:styleId="TOC4">
    <w:name w:val="toc 4"/>
    <w:uiPriority w:val="39"/>
    <w:unhideWhenUsed/>
    <w:rsid w:val="0041211E"/>
    <w:pPr>
      <w:ind w:left="601"/>
    </w:pPr>
    <w:rPr>
      <w:rFonts w:ascii="Arial" w:eastAsiaTheme="minorHAnsi" w:hAnsi="Arial"/>
      <w:szCs w:val="22"/>
    </w:rPr>
  </w:style>
  <w:style w:type="paragraph" w:styleId="TOC5">
    <w:name w:val="toc 5"/>
    <w:basedOn w:val="Normal"/>
    <w:next w:val="Normal"/>
    <w:autoRedefine/>
    <w:uiPriority w:val="39"/>
    <w:unhideWhenUsed/>
    <w:rsid w:val="0041211E"/>
    <w:pPr>
      <w:ind w:left="800"/>
    </w:pPr>
  </w:style>
  <w:style w:type="paragraph" w:styleId="TOC6">
    <w:name w:val="toc 6"/>
    <w:basedOn w:val="Normal"/>
    <w:next w:val="Normal"/>
    <w:autoRedefine/>
    <w:uiPriority w:val="39"/>
    <w:unhideWhenUsed/>
    <w:rsid w:val="0041211E"/>
    <w:pPr>
      <w:ind w:left="1000"/>
    </w:pPr>
  </w:style>
  <w:style w:type="paragraph" w:styleId="TOC7">
    <w:name w:val="toc 7"/>
    <w:basedOn w:val="Normal"/>
    <w:next w:val="Normal"/>
    <w:autoRedefine/>
    <w:uiPriority w:val="39"/>
    <w:unhideWhenUsed/>
    <w:rsid w:val="0041211E"/>
    <w:pPr>
      <w:ind w:left="1200"/>
    </w:pPr>
  </w:style>
  <w:style w:type="paragraph" w:styleId="TOC8">
    <w:name w:val="toc 8"/>
    <w:basedOn w:val="Normal"/>
    <w:next w:val="Normal"/>
    <w:autoRedefine/>
    <w:uiPriority w:val="39"/>
    <w:unhideWhenUsed/>
    <w:rsid w:val="0041211E"/>
    <w:pPr>
      <w:ind w:left="1400"/>
    </w:pPr>
  </w:style>
  <w:style w:type="paragraph" w:styleId="TOC9">
    <w:name w:val="toc 9"/>
    <w:basedOn w:val="Normal"/>
    <w:next w:val="Normal"/>
    <w:autoRedefine/>
    <w:uiPriority w:val="39"/>
    <w:unhideWhenUsed/>
    <w:rsid w:val="0041211E"/>
    <w:pPr>
      <w:ind w:left="1600"/>
    </w:pPr>
  </w:style>
  <w:style w:type="paragraph" w:customStyle="1" w:styleId="ReportTitle">
    <w:name w:val="Report Title"/>
    <w:next w:val="Heading1"/>
    <w:link w:val="ReportTitleChar"/>
    <w:uiPriority w:val="49"/>
    <w:rsid w:val="0014227E"/>
    <w:rPr>
      <w:rFonts w:ascii="Arial" w:eastAsiaTheme="majorEastAsia" w:hAnsi="Arial" w:cstheme="majorBidi"/>
      <w:b/>
      <w:color w:val="00AF71"/>
      <w:sz w:val="56"/>
      <w:szCs w:val="16"/>
    </w:rPr>
  </w:style>
  <w:style w:type="paragraph" w:customStyle="1" w:styleId="ChapterSubheading">
    <w:name w:val="Chapter Subheading"/>
    <w:next w:val="Heading2"/>
    <w:uiPriority w:val="1"/>
    <w:qFormat/>
    <w:rsid w:val="002D691E"/>
    <w:rPr>
      <w:rFonts w:ascii="Arial" w:eastAsiaTheme="majorEastAsia" w:hAnsi="Arial" w:cstheme="majorBidi"/>
      <w:b/>
      <w:bCs/>
      <w:color w:val="008000"/>
      <w:szCs w:val="26"/>
    </w:rPr>
  </w:style>
  <w:style w:type="paragraph" w:customStyle="1" w:styleId="ReportSubTitle">
    <w:name w:val="Report SubTitle"/>
    <w:next w:val="Heading2"/>
    <w:uiPriority w:val="1"/>
    <w:rsid w:val="002D755B"/>
    <w:rPr>
      <w:rFonts w:ascii="Arial" w:eastAsiaTheme="majorEastAsia" w:hAnsi="Arial" w:cstheme="majorBidi"/>
      <w:b/>
      <w:bCs/>
      <w:color w:val="00AF72"/>
      <w:sz w:val="22"/>
      <w:szCs w:val="26"/>
    </w:rPr>
  </w:style>
  <w:style w:type="character" w:customStyle="1" w:styleId="Heading3Char">
    <w:name w:val="Heading 3 Char"/>
    <w:basedOn w:val="DefaultParagraphFont"/>
    <w:link w:val="Heading3"/>
    <w:rsid w:val="00F06D25"/>
    <w:rPr>
      <w:rFonts w:ascii="Arial" w:eastAsiaTheme="majorEastAsia" w:hAnsi="Arial" w:cstheme="majorBidi"/>
      <w:bCs/>
      <w:color w:val="1C6194" w:themeColor="accent6" w:themeShade="BF"/>
      <w:szCs w:val="22"/>
    </w:rPr>
  </w:style>
  <w:style w:type="paragraph" w:styleId="Subtitle">
    <w:name w:val="Subtitle"/>
    <w:basedOn w:val="Normal"/>
    <w:next w:val="Normal"/>
    <w:link w:val="SubtitleChar"/>
    <w:uiPriority w:val="11"/>
    <w:qFormat/>
    <w:pPr>
      <w:pBdr>
        <w:top w:val="nil"/>
        <w:left w:val="nil"/>
        <w:bottom w:val="nil"/>
        <w:right w:val="nil"/>
        <w:between w:val="nil"/>
      </w:pBdr>
      <w:spacing w:line="276" w:lineRule="auto"/>
    </w:pPr>
    <w:rPr>
      <w:rFonts w:ascii="Arial" w:eastAsia="Arial" w:hAnsi="Arial" w:cs="Arial"/>
      <w:i/>
      <w:color w:val="008000"/>
      <w:szCs w:val="20"/>
    </w:rPr>
  </w:style>
  <w:style w:type="character" w:customStyle="1" w:styleId="SubtitleChar">
    <w:name w:val="Subtitle Char"/>
    <w:basedOn w:val="DefaultParagraphFont"/>
    <w:link w:val="Subtitle"/>
    <w:uiPriority w:val="11"/>
    <w:rsid w:val="002D691E"/>
    <w:rPr>
      <w:rFonts w:asciiTheme="majorHAnsi" w:eastAsiaTheme="majorEastAsia" w:hAnsiTheme="majorHAnsi" w:cstheme="majorBidi"/>
      <w:i/>
      <w:iCs/>
      <w:color w:val="008000"/>
      <w:spacing w:val="15"/>
    </w:rPr>
  </w:style>
  <w:style w:type="paragraph" w:styleId="TableofFigures">
    <w:name w:val="table of figures"/>
    <w:basedOn w:val="TOC1"/>
    <w:uiPriority w:val="99"/>
    <w:unhideWhenUsed/>
    <w:rsid w:val="00A011AF"/>
    <w:pPr>
      <w:ind w:left="403" w:hanging="403"/>
    </w:pPr>
  </w:style>
  <w:style w:type="paragraph" w:customStyle="1" w:styleId="ContentsPageHeader">
    <w:name w:val="Contents Page Header"/>
    <w:next w:val="ChapterHeading"/>
    <w:uiPriority w:val="2"/>
    <w:rsid w:val="00A65687"/>
    <w:pPr>
      <w:spacing w:before="120" w:after="120"/>
    </w:pPr>
    <w:rPr>
      <w:rFonts w:ascii="Arial" w:eastAsiaTheme="majorEastAsia" w:hAnsi="Arial" w:cstheme="majorBidi"/>
      <w:b/>
      <w:color w:val="00AF72"/>
      <w:sz w:val="40"/>
      <w:szCs w:val="56"/>
    </w:rPr>
  </w:style>
  <w:style w:type="character" w:customStyle="1" w:styleId="Heading4Char">
    <w:name w:val="Heading 4 Char"/>
    <w:aliases w:val="Map Title Char"/>
    <w:basedOn w:val="DefaultParagraphFont"/>
    <w:link w:val="Heading4"/>
    <w:rsid w:val="004973A1"/>
    <w:rPr>
      <w:rFonts w:ascii="Arial" w:eastAsiaTheme="majorEastAsia" w:hAnsi="Arial" w:cstheme="majorBidi"/>
      <w:iCs/>
      <w:color w:val="1C6194" w:themeColor="accent6" w:themeShade="BF"/>
      <w:szCs w:val="22"/>
    </w:rPr>
  </w:style>
  <w:style w:type="character" w:customStyle="1" w:styleId="Heading5Char">
    <w:name w:val="Heading 5 Char"/>
    <w:basedOn w:val="DefaultParagraphFont"/>
    <w:link w:val="Heading5"/>
    <w:uiPriority w:val="9"/>
    <w:rsid w:val="00C92724"/>
    <w:rPr>
      <w:rFonts w:asciiTheme="majorHAnsi" w:eastAsiaTheme="majorEastAsia" w:hAnsiTheme="majorHAnsi" w:cstheme="majorBidi"/>
      <w:color w:val="1A495C" w:themeColor="accent1" w:themeShade="7F"/>
      <w:szCs w:val="24"/>
      <w:lang w:val="en-GB" w:eastAsia="en-GB"/>
    </w:rPr>
  </w:style>
  <w:style w:type="numbering" w:customStyle="1" w:styleId="ListParagraph2">
    <w:name w:val="List Paragraph 2"/>
    <w:uiPriority w:val="99"/>
    <w:rsid w:val="00AA4CE2"/>
  </w:style>
  <w:style w:type="table" w:styleId="ColorfulShading">
    <w:name w:val="Colorful Shading"/>
    <w:basedOn w:val="TableNormal"/>
    <w:uiPriority w:val="71"/>
    <w:rsid w:val="00A31631"/>
    <w:rPr>
      <w:rFonts w:ascii="Arial" w:hAnsi="Arial"/>
      <w:sz w:val="16"/>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color w:val="FFFFFF" w:themeColor="background1"/>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A31631"/>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ListBullet">
    <w:name w:val="List Bullet"/>
    <w:basedOn w:val="Normal"/>
    <w:link w:val="ListBulletChar"/>
    <w:qFormat/>
    <w:rsid w:val="004841D9"/>
    <w:pPr>
      <w:numPr>
        <w:numId w:val="3"/>
      </w:numPr>
      <w:spacing w:before="120"/>
      <w:contextualSpacing/>
    </w:pPr>
    <w:rPr>
      <w:rFonts w:asciiTheme="minorHAnsi" w:hAnsiTheme="minorHAnsi"/>
    </w:rPr>
  </w:style>
  <w:style w:type="paragraph" w:styleId="ListBullet2">
    <w:name w:val="List Bullet 2"/>
    <w:basedOn w:val="Normal"/>
    <w:autoRedefine/>
    <w:qFormat/>
    <w:rsid w:val="000B782C"/>
    <w:pPr>
      <w:numPr>
        <w:ilvl w:val="1"/>
        <w:numId w:val="3"/>
      </w:numPr>
      <w:ind w:left="1134"/>
      <w:contextualSpacing/>
      <w:jc w:val="both"/>
    </w:pPr>
    <w:rPr>
      <w:rFonts w:ascii="Arial" w:eastAsiaTheme="minorEastAsia" w:hAnsi="Arial" w:cs="Arial"/>
      <w:lang w:eastAsia="en-US"/>
    </w:rPr>
  </w:style>
  <w:style w:type="paragraph" w:styleId="ListBullet3">
    <w:name w:val="List Bullet 3"/>
    <w:basedOn w:val="Normal"/>
    <w:uiPriority w:val="99"/>
    <w:unhideWhenUsed/>
    <w:rsid w:val="002C45C5"/>
    <w:pPr>
      <w:numPr>
        <w:ilvl w:val="2"/>
        <w:numId w:val="3"/>
      </w:numPr>
      <w:contextualSpacing/>
    </w:pPr>
  </w:style>
  <w:style w:type="paragraph" w:styleId="ListBullet4">
    <w:name w:val="List Bullet 4"/>
    <w:basedOn w:val="Normal"/>
    <w:uiPriority w:val="99"/>
    <w:unhideWhenUsed/>
    <w:rsid w:val="002C45C5"/>
    <w:pPr>
      <w:numPr>
        <w:ilvl w:val="3"/>
        <w:numId w:val="3"/>
      </w:numPr>
      <w:contextualSpacing/>
    </w:pPr>
  </w:style>
  <w:style w:type="paragraph" w:styleId="ListBullet5">
    <w:name w:val="List Bullet 5"/>
    <w:basedOn w:val="Normal"/>
    <w:uiPriority w:val="99"/>
    <w:unhideWhenUsed/>
    <w:rsid w:val="002C45C5"/>
    <w:pPr>
      <w:numPr>
        <w:ilvl w:val="4"/>
        <w:numId w:val="3"/>
      </w:numPr>
      <w:contextualSpacing/>
    </w:pPr>
  </w:style>
  <w:style w:type="paragraph" w:customStyle="1" w:styleId="ReportHeading">
    <w:name w:val="Report Heading"/>
    <w:basedOn w:val="ReportTitle"/>
    <w:link w:val="ReportHeadingChar"/>
    <w:uiPriority w:val="49"/>
    <w:qFormat/>
    <w:rsid w:val="002D691E"/>
    <w:rPr>
      <w:color w:val="008000"/>
    </w:rPr>
  </w:style>
  <w:style w:type="table" w:customStyle="1" w:styleId="GridTable1Light-Accent21">
    <w:name w:val="Grid Table 1 Light - Accent 21"/>
    <w:basedOn w:val="TableNormal"/>
    <w:uiPriority w:val="46"/>
    <w:rsid w:val="004D1411"/>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character" w:customStyle="1" w:styleId="ReportTitleChar">
    <w:name w:val="Report Title Char"/>
    <w:basedOn w:val="DefaultParagraphFont"/>
    <w:link w:val="ReportTitle"/>
    <w:uiPriority w:val="49"/>
    <w:rsid w:val="0019335F"/>
    <w:rPr>
      <w:rFonts w:ascii="Arial" w:eastAsiaTheme="majorEastAsia" w:hAnsi="Arial" w:cstheme="majorBidi"/>
      <w:b/>
      <w:color w:val="00AF71"/>
      <w:sz w:val="56"/>
      <w:szCs w:val="16"/>
    </w:rPr>
  </w:style>
  <w:style w:type="character" w:customStyle="1" w:styleId="ReportHeadingChar">
    <w:name w:val="Report Heading Char"/>
    <w:basedOn w:val="ReportTitleChar"/>
    <w:link w:val="ReportHeading"/>
    <w:uiPriority w:val="49"/>
    <w:rsid w:val="002D691E"/>
    <w:rPr>
      <w:rFonts w:ascii="Arial" w:eastAsiaTheme="majorEastAsia" w:hAnsi="Arial" w:cstheme="majorBidi"/>
      <w:b/>
      <w:color w:val="008000"/>
      <w:sz w:val="56"/>
      <w:szCs w:val="16"/>
    </w:rPr>
  </w:style>
  <w:style w:type="table" w:customStyle="1" w:styleId="GridTable1Light-Accent31">
    <w:name w:val="Grid Table 1 Light - Accent 31"/>
    <w:basedOn w:val="TableNormal"/>
    <w:uiPriority w:val="46"/>
    <w:rsid w:val="004D1411"/>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D1411"/>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paragraph" w:customStyle="1" w:styleId="Appendix">
    <w:name w:val="Appendix"/>
    <w:basedOn w:val="ChapterHeading"/>
    <w:link w:val="AppendixChar"/>
    <w:uiPriority w:val="69"/>
    <w:rsid w:val="004D1411"/>
  </w:style>
  <w:style w:type="character" w:styleId="CommentReference">
    <w:name w:val="annotation reference"/>
    <w:basedOn w:val="DefaultParagraphFont"/>
    <w:uiPriority w:val="99"/>
    <w:semiHidden/>
    <w:unhideWhenUsed/>
    <w:rsid w:val="00DF215D"/>
    <w:rPr>
      <w:sz w:val="16"/>
      <w:szCs w:val="16"/>
    </w:rPr>
  </w:style>
  <w:style w:type="character" w:customStyle="1" w:styleId="ChapterHeadingChar">
    <w:name w:val="Chapter Heading Char"/>
    <w:basedOn w:val="DefaultParagraphFont"/>
    <w:link w:val="ChapterHeading"/>
    <w:rsid w:val="004973A1"/>
    <w:rPr>
      <w:rFonts w:ascii="Arial" w:eastAsiaTheme="majorEastAsia" w:hAnsi="Arial" w:cstheme="majorBidi"/>
      <w:b/>
      <w:color w:val="00AF72"/>
      <w:sz w:val="40"/>
      <w:szCs w:val="56"/>
    </w:rPr>
  </w:style>
  <w:style w:type="character" w:customStyle="1" w:styleId="AppendixChar">
    <w:name w:val="Appendix Char"/>
    <w:basedOn w:val="ChapterHeadingChar"/>
    <w:link w:val="Appendix"/>
    <w:uiPriority w:val="69"/>
    <w:rsid w:val="00240F10"/>
    <w:rPr>
      <w:rFonts w:ascii="Arial" w:eastAsiaTheme="majorEastAsia" w:hAnsi="Arial" w:cstheme="majorBidi"/>
      <w:b/>
      <w:color w:val="00AF72"/>
      <w:sz w:val="40"/>
      <w:szCs w:val="56"/>
    </w:rPr>
  </w:style>
  <w:style w:type="paragraph" w:styleId="CommentText">
    <w:name w:val="annotation text"/>
    <w:basedOn w:val="Normal"/>
    <w:link w:val="CommentTextChar"/>
    <w:uiPriority w:val="99"/>
    <w:unhideWhenUsed/>
    <w:rsid w:val="00DF215D"/>
    <w:pPr>
      <w:spacing w:after="160"/>
    </w:pPr>
  </w:style>
  <w:style w:type="character" w:customStyle="1" w:styleId="CommentTextChar">
    <w:name w:val="Comment Text Char"/>
    <w:basedOn w:val="DefaultParagraphFont"/>
    <w:link w:val="CommentText"/>
    <w:uiPriority w:val="99"/>
    <w:rsid w:val="00DF215D"/>
    <w:rPr>
      <w:rFonts w:eastAsiaTheme="minorHAnsi"/>
      <w:sz w:val="20"/>
      <w:szCs w:val="20"/>
      <w:lang w:val="en-GB"/>
    </w:rPr>
  </w:style>
  <w:style w:type="table" w:customStyle="1" w:styleId="GridTable4-Accent11">
    <w:name w:val="Grid Table 4 - Accent 11"/>
    <w:basedOn w:val="TableNormal"/>
    <w:uiPriority w:val="49"/>
    <w:rsid w:val="00DF215D"/>
    <w:rPr>
      <w:rFonts w:eastAsiaTheme="minorHAnsi"/>
      <w:sz w:val="22"/>
      <w:szCs w:val="22"/>
      <w:lang w:val="en-GB"/>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Caption">
    <w:name w:val="caption"/>
    <w:basedOn w:val="ListNumber"/>
    <w:next w:val="Normal"/>
    <w:uiPriority w:val="35"/>
    <w:qFormat/>
    <w:rsid w:val="00780F86"/>
    <w:pPr>
      <w:spacing w:before="120" w:after="120"/>
      <w:jc w:val="left"/>
    </w:pPr>
    <w:rPr>
      <w:rFonts w:ascii="Arial" w:hAnsi="Arial" w:cs="Arial"/>
      <w:i/>
      <w:iCs/>
      <w:color w:val="74B5E4" w:themeColor="accent6" w:themeTint="99"/>
      <w:szCs w:val="18"/>
    </w:rPr>
  </w:style>
  <w:style w:type="paragraph" w:styleId="BlockText">
    <w:name w:val="Block Text"/>
    <w:basedOn w:val="Normal"/>
    <w:uiPriority w:val="99"/>
    <w:unhideWhenUsed/>
    <w:rsid w:val="00AE74FF"/>
    <w:pPr>
      <w:pBdr>
        <w:top w:val="single" w:sz="2" w:space="10" w:color="3494BA" w:themeColor="accent1"/>
        <w:left w:val="single" w:sz="2" w:space="10" w:color="3494BA" w:themeColor="accent1"/>
        <w:bottom w:val="single" w:sz="2" w:space="10" w:color="3494BA" w:themeColor="accent1"/>
        <w:right w:val="single" w:sz="2" w:space="10" w:color="3494BA" w:themeColor="accent1"/>
      </w:pBdr>
      <w:ind w:left="1152" w:right="1152"/>
    </w:pPr>
    <w:rPr>
      <w:i/>
      <w:iCs/>
      <w:color w:val="3494BA" w:themeColor="accent1"/>
    </w:rPr>
  </w:style>
  <w:style w:type="paragraph" w:styleId="BodyText">
    <w:name w:val="Body Text"/>
    <w:link w:val="BodyTextChar"/>
    <w:qFormat/>
    <w:rsid w:val="00BB7BAC"/>
    <w:pPr>
      <w:jc w:val="both"/>
    </w:pPr>
  </w:style>
  <w:style w:type="character" w:customStyle="1" w:styleId="BodyTextChar">
    <w:name w:val="Body Text Char"/>
    <w:basedOn w:val="DefaultParagraphFont"/>
    <w:link w:val="BodyText"/>
    <w:rsid w:val="00BB7BAC"/>
  </w:style>
  <w:style w:type="table" w:customStyle="1" w:styleId="TableGridWhite">
    <w:name w:val="Table Grid White"/>
    <w:basedOn w:val="TableNormal"/>
    <w:uiPriority w:val="99"/>
    <w:rsid w:val="0004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val="0"/>
        <w:i w:val="0"/>
        <w:iCs w:val="0"/>
        <w:color w:val="000000" w:themeColor="text1"/>
        <w:sz w:val="16"/>
        <w:szCs w:val="16"/>
      </w:rPr>
    </w:tblStylePr>
    <w:tblStylePr w:type="lastRow">
      <w:rPr>
        <w:color w:val="000000" w:themeColor="text1"/>
      </w:rPr>
    </w:tblStylePr>
    <w:tblStylePr w:type="firstCol">
      <w:rPr>
        <w:color w:val="000000" w:themeColor="text1"/>
      </w:rPr>
    </w:tblStylePr>
  </w:style>
  <w:style w:type="paragraph" w:customStyle="1" w:styleId="StylePreparedByList8ptBoldBefore2ptAfter2ptP">
    <w:name w:val="Style Prepared By List + 8 pt Bold Before:  2 pt After:  2 pt P..."/>
    <w:basedOn w:val="PreparedByList"/>
    <w:uiPriority w:val="2"/>
    <w:semiHidden/>
    <w:rsid w:val="002D755B"/>
    <w:pPr>
      <w:shd w:val="clear" w:color="auto" w:fill="FFFFFF" w:themeFill="background1"/>
      <w:spacing w:before="40" w:after="40"/>
    </w:pPr>
    <w:rPr>
      <w:b/>
      <w:bCs/>
      <w:color w:val="373545" w:themeColor="text2"/>
      <w:sz w:val="16"/>
    </w:rPr>
  </w:style>
  <w:style w:type="paragraph" w:customStyle="1" w:styleId="Auto">
    <w:name w:val="Auto"/>
    <w:uiPriority w:val="99"/>
    <w:rsid w:val="0041211E"/>
  </w:style>
  <w:style w:type="table" w:customStyle="1" w:styleId="GreenCapeCustom">
    <w:name w:val="GreenCapeCustom"/>
    <w:basedOn w:val="TableGrid"/>
    <w:uiPriority w:val="99"/>
    <w:rsid w:val="00DB7E06"/>
    <w:tblPr/>
    <w:tblStylePr w:type="firstRow">
      <w:rPr>
        <w:b/>
        <w:color w:val="CEDBE6" w:themeColor="background2"/>
      </w:rPr>
      <w:tblPr/>
      <w:tcPr>
        <w:shd w:val="clear" w:color="auto" w:fill="373545" w:themeFill="text2"/>
      </w:tcPr>
    </w:tblStylePr>
    <w:tblStylePr w:type="lastRow">
      <w:rPr>
        <w:color w:val="CEDBE6" w:themeColor="background2"/>
      </w:rPr>
      <w:tblPr/>
      <w:tcPr>
        <w:shd w:val="clear" w:color="auto" w:fill="373545" w:themeFill="text2"/>
      </w:tcPr>
    </w:tblStylePr>
    <w:tblStylePr w:type="firstCol">
      <w:rPr>
        <w:color w:val="373545" w:themeColor="text2"/>
      </w:rPr>
    </w:tblStylePr>
    <w:tblStylePr w:type="band2Horz">
      <w:tblPr/>
      <w:tcPr>
        <w:shd w:val="clear" w:color="auto" w:fill="CCCCCC" w:themeFill="text1" w:themeFillTint="33"/>
      </w:tcPr>
    </w:tblStylePr>
  </w:style>
  <w:style w:type="paragraph" w:customStyle="1" w:styleId="StyleReportSubTitle">
    <w:name w:val="Style Report SubTitle +"/>
    <w:basedOn w:val="ReportSubTitle"/>
    <w:uiPriority w:val="2"/>
    <w:rsid w:val="00A56762"/>
    <w:rPr>
      <w:color w:val="373545" w:themeColor="text2"/>
    </w:rPr>
  </w:style>
  <w:style w:type="paragraph" w:styleId="List">
    <w:name w:val="List"/>
    <w:basedOn w:val="Normal"/>
    <w:uiPriority w:val="99"/>
    <w:semiHidden/>
    <w:unhideWhenUsed/>
    <w:rsid w:val="00A12747"/>
    <w:pPr>
      <w:ind w:left="340" w:hanging="227"/>
      <w:contextualSpacing/>
    </w:pPr>
  </w:style>
  <w:style w:type="paragraph" w:customStyle="1" w:styleId="StyleBodyText8ptBold">
    <w:name w:val="Style Body Text + 8 pt Bold"/>
    <w:basedOn w:val="BodyText"/>
    <w:uiPriority w:val="2"/>
    <w:rsid w:val="00E1194A"/>
    <w:rPr>
      <w:b/>
      <w:bCs/>
      <w:sz w:val="16"/>
    </w:rPr>
  </w:style>
  <w:style w:type="character" w:styleId="SubtleEmphasis">
    <w:name w:val="Subtle Emphasis"/>
    <w:basedOn w:val="DefaultParagraphFont"/>
    <w:uiPriority w:val="19"/>
    <w:rsid w:val="005824BA"/>
    <w:rPr>
      <w:i/>
      <w:iCs/>
      <w:color w:val="000000"/>
    </w:rPr>
  </w:style>
  <w:style w:type="character" w:styleId="PlaceholderText">
    <w:name w:val="Placeholder Text"/>
    <w:basedOn w:val="DefaultParagraphFont"/>
    <w:uiPriority w:val="99"/>
    <w:semiHidden/>
    <w:rsid w:val="002F2616"/>
    <w:rPr>
      <w:color w:val="808080"/>
    </w:rPr>
  </w:style>
  <w:style w:type="paragraph" w:styleId="Bibliography">
    <w:name w:val="Bibliography"/>
    <w:basedOn w:val="Normal"/>
    <w:next w:val="Normal"/>
    <w:uiPriority w:val="1"/>
    <w:qFormat/>
    <w:rsid w:val="005824BA"/>
  </w:style>
  <w:style w:type="character" w:styleId="SubtleReference">
    <w:name w:val="Subtle Reference"/>
    <w:basedOn w:val="DefaultParagraphFont"/>
    <w:uiPriority w:val="31"/>
    <w:rsid w:val="0041211E"/>
    <w:rPr>
      <w:smallCaps/>
      <w:color w:val="000000"/>
    </w:rPr>
  </w:style>
  <w:style w:type="character" w:styleId="IntenseReference">
    <w:name w:val="Intense Reference"/>
    <w:basedOn w:val="DefaultParagraphFont"/>
    <w:uiPriority w:val="32"/>
    <w:rsid w:val="00BC570E"/>
    <w:rPr>
      <w:b/>
      <w:bCs/>
      <w:smallCaps/>
      <w:color w:val="3494BA" w:themeColor="accent1"/>
      <w:spacing w:val="5"/>
    </w:rPr>
  </w:style>
  <w:style w:type="paragraph" w:styleId="NormalWeb">
    <w:name w:val="Normal (Web)"/>
    <w:basedOn w:val="Normal"/>
    <w:uiPriority w:val="99"/>
    <w:semiHidden/>
    <w:unhideWhenUsed/>
    <w:rsid w:val="00F51658"/>
    <w:rPr>
      <w:rFonts w:ascii="Times New Roman" w:hAnsi="Times New Roman"/>
      <w:sz w:val="24"/>
    </w:rPr>
  </w:style>
  <w:style w:type="paragraph" w:customStyle="1" w:styleId="Style8ptBefore2ptAfter2ptPatternClearBackground">
    <w:name w:val="Style 8 pt Before:  2 pt After:  2 pt Pattern: Clear (Background..."/>
    <w:basedOn w:val="Normal"/>
    <w:rsid w:val="005824BA"/>
    <w:pPr>
      <w:shd w:val="clear" w:color="auto" w:fill="FFFFFF" w:themeFill="background1"/>
      <w:spacing w:before="40" w:after="40"/>
    </w:pPr>
    <w:rPr>
      <w:sz w:val="16"/>
    </w:rPr>
  </w:style>
  <w:style w:type="character" w:customStyle="1" w:styleId="TitleChar">
    <w:name w:val="Title Char"/>
    <w:basedOn w:val="DefaultParagraphFont"/>
    <w:link w:val="Title"/>
    <w:uiPriority w:val="10"/>
    <w:rsid w:val="002D691E"/>
    <w:rPr>
      <w:rFonts w:asciiTheme="majorHAnsi" w:eastAsiaTheme="majorEastAsia" w:hAnsiTheme="majorHAnsi" w:cstheme="majorBidi"/>
      <w:color w:val="008000"/>
      <w:spacing w:val="-10"/>
      <w:kern w:val="28"/>
      <w:sz w:val="56"/>
      <w:szCs w:val="56"/>
      <w:lang w:val="en-GB" w:eastAsia="en-GB"/>
    </w:rPr>
  </w:style>
  <w:style w:type="paragraph" w:styleId="Quote">
    <w:name w:val="Quote"/>
    <w:basedOn w:val="Normal"/>
    <w:next w:val="Normal"/>
    <w:link w:val="QuoteChar"/>
    <w:uiPriority w:val="29"/>
    <w:rsid w:val="0041211E"/>
    <w:pPr>
      <w:spacing w:before="200" w:after="160"/>
      <w:ind w:left="864" w:right="864"/>
      <w:jc w:val="center"/>
    </w:pPr>
    <w:rPr>
      <w:i/>
      <w:iCs/>
    </w:rPr>
  </w:style>
  <w:style w:type="character" w:customStyle="1" w:styleId="QuoteChar">
    <w:name w:val="Quote Char"/>
    <w:basedOn w:val="DefaultParagraphFont"/>
    <w:link w:val="Quote"/>
    <w:uiPriority w:val="29"/>
    <w:rsid w:val="0041211E"/>
    <w:rPr>
      <w:i/>
      <w:iCs/>
      <w:color w:val="000000"/>
    </w:rPr>
  </w:style>
  <w:style w:type="character" w:styleId="Strong">
    <w:name w:val="Strong"/>
    <w:basedOn w:val="DefaultParagraphFont"/>
    <w:uiPriority w:val="22"/>
    <w:rsid w:val="0041211E"/>
    <w:rPr>
      <w:b/>
      <w:bCs/>
      <w:color w:val="000000"/>
    </w:rPr>
  </w:style>
  <w:style w:type="character" w:styleId="BookTitle">
    <w:name w:val="Book Title"/>
    <w:basedOn w:val="DefaultParagraphFont"/>
    <w:uiPriority w:val="33"/>
    <w:rsid w:val="0041211E"/>
    <w:rPr>
      <w:b/>
      <w:bCs/>
      <w:i/>
      <w:iCs/>
      <w:color w:val="000000"/>
      <w:spacing w:val="5"/>
    </w:rPr>
  </w:style>
  <w:style w:type="paragraph" w:styleId="BodyText2">
    <w:name w:val="Body Text 2"/>
    <w:basedOn w:val="Normal"/>
    <w:link w:val="BodyText2Char"/>
    <w:uiPriority w:val="99"/>
    <w:semiHidden/>
    <w:unhideWhenUsed/>
    <w:rsid w:val="004E6475"/>
    <w:pPr>
      <w:spacing w:after="120" w:line="480" w:lineRule="auto"/>
    </w:pPr>
  </w:style>
  <w:style w:type="character" w:customStyle="1" w:styleId="BodyText2Char">
    <w:name w:val="Body Text 2 Char"/>
    <w:basedOn w:val="DefaultParagraphFont"/>
    <w:link w:val="BodyText2"/>
    <w:uiPriority w:val="99"/>
    <w:semiHidden/>
    <w:rsid w:val="004E6475"/>
  </w:style>
  <w:style w:type="paragraph" w:styleId="BodyText3">
    <w:name w:val="Body Text 3"/>
    <w:basedOn w:val="Normal"/>
    <w:link w:val="BodyText3Char"/>
    <w:uiPriority w:val="99"/>
    <w:semiHidden/>
    <w:unhideWhenUsed/>
    <w:rsid w:val="004E6475"/>
    <w:pPr>
      <w:spacing w:after="120"/>
    </w:pPr>
    <w:rPr>
      <w:sz w:val="16"/>
      <w:szCs w:val="16"/>
    </w:rPr>
  </w:style>
  <w:style w:type="character" w:customStyle="1" w:styleId="BodyText3Char">
    <w:name w:val="Body Text 3 Char"/>
    <w:basedOn w:val="DefaultParagraphFont"/>
    <w:link w:val="BodyText3"/>
    <w:uiPriority w:val="99"/>
    <w:semiHidden/>
    <w:rsid w:val="004E6475"/>
    <w:rPr>
      <w:sz w:val="16"/>
      <w:szCs w:val="16"/>
    </w:rPr>
  </w:style>
  <w:style w:type="character" w:customStyle="1" w:styleId="Heading6Char">
    <w:name w:val="Heading 6 Char"/>
    <w:basedOn w:val="DefaultParagraphFont"/>
    <w:link w:val="Heading6"/>
    <w:rsid w:val="004E6475"/>
    <w:rPr>
      <w:rFonts w:ascii="Verdana" w:eastAsia="Times New Roman" w:hAnsi="Verdana" w:cs="Times New Roman"/>
      <w:b/>
      <w:bCs/>
      <w:color w:val="auto"/>
      <w:sz w:val="22"/>
      <w:szCs w:val="22"/>
      <w:lang w:val="en-NZ" w:bidi="ar-DZ"/>
    </w:rPr>
  </w:style>
  <w:style w:type="character" w:customStyle="1" w:styleId="Heading7Char">
    <w:name w:val="Heading 7 Char"/>
    <w:basedOn w:val="DefaultParagraphFont"/>
    <w:link w:val="Heading7"/>
    <w:rsid w:val="004E6475"/>
    <w:rPr>
      <w:rFonts w:ascii="Verdana" w:eastAsia="Times New Roman" w:hAnsi="Verdana" w:cs="Times New Roman"/>
      <w:color w:val="auto"/>
      <w:szCs w:val="24"/>
      <w:lang w:val="en-NZ" w:bidi="ar-DZ"/>
    </w:rPr>
  </w:style>
  <w:style w:type="character" w:customStyle="1" w:styleId="Heading8Char">
    <w:name w:val="Heading 8 Char"/>
    <w:basedOn w:val="DefaultParagraphFont"/>
    <w:link w:val="Heading8"/>
    <w:rsid w:val="004E6475"/>
    <w:rPr>
      <w:rFonts w:ascii="Verdana" w:eastAsia="Times New Roman" w:hAnsi="Verdana" w:cs="Times New Roman"/>
      <w:i/>
      <w:iCs/>
      <w:color w:val="auto"/>
      <w:szCs w:val="24"/>
      <w:lang w:val="en-NZ" w:bidi="ar-DZ"/>
    </w:rPr>
  </w:style>
  <w:style w:type="character" w:customStyle="1" w:styleId="Heading1Char1">
    <w:name w:val="Heading 1 Char1"/>
    <w:rsid w:val="004E6475"/>
    <w:rPr>
      <w:rFonts w:ascii="Verdana" w:hAnsi="Verdana"/>
      <w:color w:val="000000"/>
      <w:sz w:val="28"/>
      <w:lang w:val="en-NZ" w:eastAsia="en-US" w:bidi="ar-DZ"/>
    </w:rPr>
  </w:style>
  <w:style w:type="paragraph" w:customStyle="1" w:styleId="TableText">
    <w:name w:val="Table Text"/>
    <w:basedOn w:val="BodyText"/>
    <w:link w:val="TableTextChar"/>
    <w:rsid w:val="004E6475"/>
    <w:pPr>
      <w:spacing w:after="120"/>
    </w:pPr>
    <w:rPr>
      <w:rFonts w:eastAsia="Times New Roman" w:cs="Times New Roman"/>
      <w:sz w:val="18"/>
      <w:szCs w:val="24"/>
      <w:lang w:val="en-NZ" w:bidi="ar-DZ"/>
    </w:rPr>
  </w:style>
  <w:style w:type="paragraph" w:styleId="ListNumber">
    <w:name w:val="List Number"/>
    <w:basedOn w:val="BodyText"/>
    <w:rsid w:val="004E6475"/>
    <w:pPr>
      <w:tabs>
        <w:tab w:val="num" w:pos="360"/>
      </w:tabs>
      <w:ind w:left="357" w:hanging="357"/>
    </w:pPr>
    <w:rPr>
      <w:rFonts w:eastAsia="Times New Roman" w:cs="Times New Roman"/>
      <w:szCs w:val="24"/>
      <w:lang w:val="en-NZ" w:bidi="ar-DZ"/>
    </w:rPr>
  </w:style>
  <w:style w:type="paragraph" w:customStyle="1" w:styleId="TableHeading">
    <w:name w:val="Table Heading"/>
    <w:basedOn w:val="BodyText"/>
    <w:rsid w:val="004E6475"/>
    <w:rPr>
      <w:rFonts w:eastAsia="Times New Roman" w:cs="Times New Roman"/>
      <w:b/>
      <w:color w:val="333333"/>
      <w:sz w:val="18"/>
      <w:szCs w:val="24"/>
      <w:lang w:val="en-NZ" w:bidi="ar-DZ"/>
    </w:rPr>
  </w:style>
  <w:style w:type="character" w:customStyle="1" w:styleId="ListBulletChar">
    <w:name w:val="List Bullet Char"/>
    <w:link w:val="ListBullet"/>
    <w:rsid w:val="004841D9"/>
    <w:rPr>
      <w:rFonts w:eastAsia="Times New Roman" w:cs="Times New Roman"/>
      <w:color w:val="auto"/>
      <w:szCs w:val="24"/>
      <w:lang w:val="en-GB" w:eastAsia="en-GB"/>
    </w:rPr>
  </w:style>
  <w:style w:type="character" w:customStyle="1" w:styleId="TableTextChar">
    <w:name w:val="Table Text Char"/>
    <w:link w:val="TableText"/>
    <w:rsid w:val="004E6475"/>
    <w:rPr>
      <w:rFonts w:ascii="Verdana" w:eastAsia="Times New Roman" w:hAnsi="Verdana" w:cs="Times New Roman"/>
      <w:color w:val="auto"/>
      <w:sz w:val="18"/>
      <w:szCs w:val="24"/>
      <w:lang w:val="en-NZ" w:bidi="ar-DZ"/>
    </w:rPr>
  </w:style>
  <w:style w:type="paragraph" w:customStyle="1" w:styleId="Classification">
    <w:name w:val="Classification"/>
    <w:basedOn w:val="TableText"/>
    <w:rsid w:val="004E6475"/>
    <w:pPr>
      <w:tabs>
        <w:tab w:val="right" w:pos="9639"/>
      </w:tabs>
      <w:ind w:left="3686"/>
    </w:pPr>
    <w:rPr>
      <w:b/>
      <w:i/>
      <w:color w:val="808080"/>
      <w:szCs w:val="18"/>
    </w:rPr>
  </w:style>
  <w:style w:type="paragraph" w:customStyle="1" w:styleId="Guidance">
    <w:name w:val="Guidance"/>
    <w:basedOn w:val="Normal"/>
    <w:link w:val="GuidanceChar"/>
    <w:rsid w:val="004E6475"/>
    <w:pPr>
      <w:tabs>
        <w:tab w:val="left" w:pos="1680"/>
      </w:tabs>
      <w:spacing w:before="120" w:after="120"/>
    </w:pPr>
    <w:rPr>
      <w:rFonts w:cs="Arial"/>
      <w:b/>
      <w:i/>
      <w:color w:val="993399"/>
      <w:sz w:val="18"/>
      <w:szCs w:val="22"/>
      <w:lang w:val="en-NZ" w:eastAsia="en-US" w:bidi="ar-DZ"/>
    </w:rPr>
  </w:style>
  <w:style w:type="character" w:customStyle="1" w:styleId="GuidanceChar">
    <w:name w:val="Guidance Char"/>
    <w:link w:val="Guidance"/>
    <w:rsid w:val="004E6475"/>
    <w:rPr>
      <w:rFonts w:ascii="Verdana" w:eastAsia="Times New Roman" w:hAnsi="Verdana" w:cs="Arial"/>
      <w:b/>
      <w:i/>
      <w:color w:val="993399"/>
      <w:sz w:val="18"/>
      <w:szCs w:val="22"/>
      <w:lang w:val="en-NZ" w:bidi="ar-DZ"/>
    </w:rPr>
  </w:style>
  <w:style w:type="paragraph" w:styleId="CommentSubject">
    <w:name w:val="annotation subject"/>
    <w:basedOn w:val="CommentText"/>
    <w:next w:val="CommentText"/>
    <w:link w:val="CommentSubjectChar"/>
    <w:uiPriority w:val="99"/>
    <w:semiHidden/>
    <w:unhideWhenUsed/>
    <w:rsid w:val="00843A9D"/>
    <w:pPr>
      <w:spacing w:after="0" w:line="240" w:lineRule="auto"/>
    </w:pPr>
    <w:rPr>
      <w:b/>
      <w:bCs/>
      <w:szCs w:val="20"/>
    </w:rPr>
  </w:style>
  <w:style w:type="character" w:customStyle="1" w:styleId="CommentSubjectChar">
    <w:name w:val="Comment Subject Char"/>
    <w:basedOn w:val="CommentTextChar"/>
    <w:link w:val="CommentSubject"/>
    <w:uiPriority w:val="99"/>
    <w:semiHidden/>
    <w:rsid w:val="00843A9D"/>
    <w:rPr>
      <w:rFonts w:ascii="Verdana" w:eastAsia="Times New Roman" w:hAnsi="Verdana" w:cs="Times New Roman"/>
      <w:b/>
      <w:bCs/>
      <w:color w:val="auto"/>
      <w:sz w:val="20"/>
      <w:szCs w:val="20"/>
      <w:lang w:val="en-GB" w:eastAsia="en-GB"/>
    </w:rPr>
  </w:style>
  <w:style w:type="paragraph" w:styleId="TOCHeading">
    <w:name w:val="TOC Heading"/>
    <w:basedOn w:val="Heading1"/>
    <w:next w:val="Normal"/>
    <w:uiPriority w:val="39"/>
    <w:unhideWhenUsed/>
    <w:qFormat/>
    <w:rsid w:val="002D691E"/>
    <w:pPr>
      <w:numPr>
        <w:numId w:val="0"/>
      </w:numPr>
      <w:spacing w:after="0" w:line="259" w:lineRule="auto"/>
      <w:outlineLvl w:val="9"/>
    </w:pPr>
    <w:rPr>
      <w:rFonts w:asciiTheme="majorHAnsi" w:hAnsiTheme="majorHAnsi"/>
      <w:b w:val="0"/>
      <w:szCs w:val="32"/>
      <w:lang w:val="en-US"/>
    </w:rPr>
  </w:style>
  <w:style w:type="paragraph" w:styleId="EndnoteText">
    <w:name w:val="endnote text"/>
    <w:basedOn w:val="Normal"/>
    <w:link w:val="EndnoteTextChar"/>
    <w:uiPriority w:val="99"/>
    <w:semiHidden/>
    <w:unhideWhenUsed/>
    <w:rsid w:val="006C72CA"/>
    <w:pPr>
      <w:spacing w:line="240" w:lineRule="auto"/>
    </w:pPr>
    <w:rPr>
      <w:szCs w:val="20"/>
    </w:rPr>
  </w:style>
  <w:style w:type="character" w:customStyle="1" w:styleId="EndnoteTextChar">
    <w:name w:val="Endnote Text Char"/>
    <w:basedOn w:val="DefaultParagraphFont"/>
    <w:link w:val="EndnoteText"/>
    <w:uiPriority w:val="99"/>
    <w:semiHidden/>
    <w:rsid w:val="006C72CA"/>
    <w:rPr>
      <w:rFonts w:ascii="Verdana" w:eastAsia="Times New Roman" w:hAnsi="Verdana" w:cs="Times New Roman"/>
      <w:color w:val="auto"/>
      <w:lang w:val="en-GB" w:eastAsia="en-GB"/>
    </w:rPr>
  </w:style>
  <w:style w:type="character" w:styleId="EndnoteReference">
    <w:name w:val="endnote reference"/>
    <w:basedOn w:val="DefaultParagraphFont"/>
    <w:uiPriority w:val="99"/>
    <w:semiHidden/>
    <w:unhideWhenUsed/>
    <w:rsid w:val="006C72CA"/>
    <w:rPr>
      <w:vertAlign w:val="superscript"/>
    </w:rPr>
  </w:style>
  <w:style w:type="table" w:customStyle="1" w:styleId="GridTable1Light-Accent22">
    <w:name w:val="Grid Table 1 Light - Accent 22"/>
    <w:basedOn w:val="TableNormal"/>
    <w:uiPriority w:val="46"/>
    <w:rsid w:val="005C2B8A"/>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5C2B8A"/>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rsid w:val="005C2B8A"/>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customStyle="1" w:styleId="GridTable4-Accent12">
    <w:name w:val="Grid Table 4 - Accent 12"/>
    <w:basedOn w:val="TableNormal"/>
    <w:uiPriority w:val="49"/>
    <w:rsid w:val="005C2B8A"/>
    <w:rPr>
      <w:rFonts w:eastAsiaTheme="minorHAnsi"/>
      <w:sz w:val="22"/>
      <w:szCs w:val="22"/>
      <w:lang w:val="en-GB"/>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Revision">
    <w:name w:val="Revision"/>
    <w:hidden/>
    <w:uiPriority w:val="99"/>
    <w:semiHidden/>
    <w:rsid w:val="00783455"/>
    <w:pPr>
      <w:spacing w:line="240" w:lineRule="auto"/>
    </w:pPr>
    <w:rPr>
      <w:rFonts w:eastAsia="Times New Roman" w:cs="Times New Roman"/>
      <w:szCs w:val="24"/>
      <w:lang w:val="en-GB"/>
    </w:rPr>
  </w:style>
  <w:style w:type="character" w:customStyle="1" w:styleId="UnresolvedMention1">
    <w:name w:val="Unresolved Mention1"/>
    <w:basedOn w:val="DefaultParagraphFont"/>
    <w:uiPriority w:val="99"/>
    <w:semiHidden/>
    <w:unhideWhenUsed/>
    <w:rsid w:val="00F3146B"/>
    <w:rPr>
      <w:color w:val="808080"/>
      <w:shd w:val="clear" w:color="auto" w:fill="E6E6E6"/>
    </w:rPr>
  </w:style>
  <w:style w:type="table" w:customStyle="1" w:styleId="TableGridLight1">
    <w:name w:val="Table Grid Light1"/>
    <w:basedOn w:val="TableNormal"/>
    <w:uiPriority w:val="40"/>
    <w:rsid w:val="005B104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1D0596"/>
    <w:pPr>
      <w:spacing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D41BC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956A7"/>
    <w:rPr>
      <w:color w:val="9F6715" w:themeColor="followedHyperlink"/>
      <w:u w:val="single"/>
    </w:rPr>
  </w:style>
  <w:style w:type="paragraph" w:customStyle="1" w:styleId="BasicParagraph">
    <w:name w:val="[Basic Paragraph]"/>
    <w:basedOn w:val="Normal"/>
    <w:uiPriority w:val="99"/>
    <w:rsid w:val="00C80B8D"/>
    <w:pPr>
      <w:widowControl w:val="0"/>
      <w:autoSpaceDE w:val="0"/>
      <w:autoSpaceDN w:val="0"/>
      <w:adjustRightInd w:val="0"/>
      <w:textAlignment w:val="center"/>
    </w:pPr>
    <w:rPr>
      <w:rFonts w:ascii="MinionPro-Regular" w:eastAsiaTheme="minorEastAsia" w:hAnsi="MinionPro-Regular" w:cs="MinionPro-Regular"/>
      <w:color w:val="000000"/>
      <w:sz w:val="24"/>
      <w:lang w:val="en-US" w:eastAsia="en-US"/>
    </w:rPr>
  </w:style>
  <w:style w:type="table" w:styleId="ColorfulGrid-Accent6">
    <w:name w:val="Colorful Grid Accent 6"/>
    <w:basedOn w:val="TableNormal"/>
    <w:uiPriority w:val="73"/>
    <w:rsid w:val="00E077B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character" w:customStyle="1" w:styleId="UnresolvedMention">
    <w:name w:val="Unresolved Mention"/>
    <w:basedOn w:val="DefaultParagraphFont"/>
    <w:uiPriority w:val="99"/>
    <w:semiHidden/>
    <w:unhideWhenUsed/>
    <w:rsid w:val="00054AB8"/>
    <w:rPr>
      <w:color w:val="605E5C"/>
      <w:shd w:val="clear" w:color="auto" w:fill="E1DFDD"/>
    </w:rPr>
  </w:style>
  <w:style w:type="table" w:customStyle="1" w:styleId="a">
    <w:basedOn w:val="TableNormal"/>
    <w:pPr>
      <w:spacing w:before="40" w:after="40" w:line="240" w:lineRule="auto"/>
    </w:pPr>
    <w:rPr>
      <w:rFonts w:ascii="Arial" w:eastAsia="Arial" w:hAnsi="Arial" w:cs="Arial"/>
      <w:color w:val="000000"/>
      <w:sz w:val="22"/>
      <w:szCs w:val="22"/>
    </w:rPr>
    <w:tblPr>
      <w:tblStyleRowBandSize w:val="1"/>
      <w:tblStyleColBandSize w:val="1"/>
      <w:tblCellMar>
        <w:left w:w="115" w:type="dxa"/>
        <w:right w:w="115" w:type="dxa"/>
      </w:tblCellMar>
    </w:tblPr>
    <w:tcPr>
      <w:shd w:val="clear" w:color="auto" w:fill="D1E6F6"/>
      <w:vAlign w:val="center"/>
    </w:tcPr>
  </w:style>
  <w:style w:type="table" w:customStyle="1" w:styleId="a0">
    <w:basedOn w:val="TableNormal"/>
    <w:pPr>
      <w:spacing w:before="40" w:after="40" w:line="240" w:lineRule="auto"/>
    </w:pPr>
    <w:rPr>
      <w:rFonts w:ascii="Arial" w:eastAsia="Arial" w:hAnsi="Arial" w:cs="Arial"/>
      <w:color w:val="000000"/>
      <w:sz w:val="22"/>
      <w:szCs w:val="22"/>
    </w:rPr>
    <w:tblPr>
      <w:tblStyleRowBandSize w:val="1"/>
      <w:tblStyleColBandSize w:val="1"/>
      <w:tblCellMar>
        <w:left w:w="115" w:type="dxa"/>
        <w:right w:w="115" w:type="dxa"/>
      </w:tblCellMar>
    </w:tblPr>
    <w:tcPr>
      <w:shd w:val="clear" w:color="auto" w:fill="D1E6F6"/>
      <w:vAlign w:val="center"/>
    </w:tcPr>
  </w:style>
  <w:style w:type="table" w:customStyle="1" w:styleId="a1">
    <w:basedOn w:val="TableNormal"/>
    <w:pPr>
      <w:spacing w:before="40" w:after="40" w:line="240" w:lineRule="auto"/>
    </w:pPr>
    <w:rPr>
      <w:rFonts w:ascii="Arial" w:eastAsia="Arial" w:hAnsi="Arial" w:cs="Arial"/>
      <w:color w:val="000000"/>
      <w:sz w:val="22"/>
      <w:szCs w:val="22"/>
    </w:rPr>
    <w:tblPr>
      <w:tblStyleRowBandSize w:val="1"/>
      <w:tblStyleColBandSize w:val="1"/>
      <w:tblCellMar>
        <w:left w:w="115" w:type="dxa"/>
        <w:right w:w="115" w:type="dxa"/>
      </w:tblCellMar>
    </w:tblPr>
    <w:tcPr>
      <w:shd w:val="clear" w:color="auto" w:fill="D1E6F6"/>
      <w:vAlign w:val="center"/>
    </w:tcPr>
    <w:tblStylePr w:type="firstRow">
      <w:rPr>
        <w:rFonts w:ascii="Arial" w:eastAsia="Arial" w:hAnsi="Arial" w:cs="Arial"/>
        <w:b/>
        <w:i w:val="0"/>
        <w:color w:val="000000"/>
        <w:sz w:val="16"/>
        <w:szCs w:val="16"/>
      </w:rPr>
    </w:tblStylePr>
    <w:tblStylePr w:type="lastRow">
      <w:rPr>
        <w:color w:val="000000"/>
      </w:rPr>
    </w:tblStylePr>
    <w:tblStylePr w:type="firstCol">
      <w:rPr>
        <w:color w:val="000000"/>
      </w:rPr>
    </w:tblStylePr>
  </w:style>
  <w:style w:type="table" w:customStyle="1" w:styleId="a2">
    <w:basedOn w:val="TableNormal"/>
    <w:tblPr>
      <w:tblStyleRowBandSize w:val="1"/>
      <w:tblStyleColBandSize w:val="1"/>
      <w:tblCellMar>
        <w:top w:w="57" w:type="dxa"/>
        <w:left w:w="57" w:type="dxa"/>
        <w:bottom w:w="57" w:type="dxa"/>
        <w:right w:w="57" w:type="dxa"/>
      </w:tblCellMar>
    </w:tblPr>
  </w:style>
  <w:style w:type="table" w:customStyle="1" w:styleId="a3">
    <w:basedOn w:val="TableNormal"/>
    <w:pPr>
      <w:spacing w:before="40" w:after="40" w:line="240" w:lineRule="auto"/>
    </w:pPr>
    <w:rPr>
      <w:rFonts w:ascii="Arial" w:eastAsia="Arial" w:hAnsi="Arial" w:cs="Arial"/>
      <w:color w:val="000000"/>
      <w:sz w:val="22"/>
      <w:szCs w:val="22"/>
    </w:rPr>
    <w:tblPr>
      <w:tblStyleRowBandSize w:val="1"/>
      <w:tblStyleColBandSize w:val="1"/>
      <w:tblCellMar>
        <w:top w:w="113" w:type="dxa"/>
        <w:left w:w="115" w:type="dxa"/>
        <w:bottom w:w="113" w:type="dxa"/>
        <w:right w:w="115" w:type="dxa"/>
      </w:tblCellMar>
    </w:tblPr>
    <w:tcPr>
      <w:shd w:val="clear" w:color="auto" w:fill="D1E6F6"/>
      <w:vAlign w:val="center"/>
    </w:tcPr>
  </w:style>
  <w:style w:type="table" w:customStyle="1" w:styleId="a4">
    <w:basedOn w:val="TableNormal"/>
    <w:pPr>
      <w:spacing w:before="40" w:after="40" w:line="240" w:lineRule="auto"/>
    </w:pPr>
    <w:rPr>
      <w:rFonts w:ascii="Arial" w:eastAsia="Arial" w:hAnsi="Arial" w:cs="Arial"/>
      <w:color w:val="000000"/>
      <w:sz w:val="22"/>
      <w:szCs w:val="22"/>
    </w:rPr>
    <w:tblPr>
      <w:tblStyleRowBandSize w:val="1"/>
      <w:tblStyleColBandSize w:val="1"/>
      <w:tblCellMar>
        <w:top w:w="85" w:type="dxa"/>
        <w:left w:w="115" w:type="dxa"/>
        <w:right w:w="115" w:type="dxa"/>
      </w:tblCellMar>
    </w:tblPr>
    <w:tcPr>
      <w:shd w:val="clear" w:color="auto" w:fill="D1E6F6"/>
      <w:vAlign w:val="center"/>
    </w:tcPr>
  </w:style>
  <w:style w:type="table" w:customStyle="1" w:styleId="a5">
    <w:basedOn w:val="TableNormal"/>
    <w:pPr>
      <w:spacing w:before="40" w:after="40" w:line="240" w:lineRule="auto"/>
    </w:pPr>
    <w:rPr>
      <w:rFonts w:ascii="Arial" w:eastAsia="Arial" w:hAnsi="Arial" w:cs="Arial"/>
      <w:color w:val="000000"/>
      <w:sz w:val="22"/>
      <w:szCs w:val="22"/>
    </w:rPr>
    <w:tblPr>
      <w:tblStyleRowBandSize w:val="1"/>
      <w:tblStyleColBandSize w:val="1"/>
      <w:tblCellMar>
        <w:left w:w="115" w:type="dxa"/>
        <w:right w:w="115" w:type="dxa"/>
      </w:tblCellMar>
    </w:tblPr>
    <w:tcPr>
      <w:shd w:val="clear" w:color="auto" w:fill="D1E6F6"/>
      <w:vAlign w:val="center"/>
    </w:tcPr>
    <w:tblStylePr w:type="firstRow">
      <w:pPr>
        <w:spacing w:before="0" w:after="0" w:line="240" w:lineRule="auto"/>
      </w:pPr>
      <w:rPr>
        <w:rFonts w:ascii="Arial" w:eastAsia="Arial" w:hAnsi="Arial" w:cs="Arial"/>
        <w:b/>
        <w:color w:val="CEDBE6"/>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373545"/>
      </w:tcPr>
    </w:tblStylePr>
    <w:tblStylePr w:type="lastRow">
      <w:pPr>
        <w:spacing w:before="0" w:after="0" w:line="240" w:lineRule="auto"/>
      </w:pPr>
      <w:rPr>
        <w:rFonts w:ascii="Arial" w:eastAsia="Arial" w:hAnsi="Arial" w:cs="Arial"/>
        <w:b w:val="0"/>
        <w:color w:val="CEDBE6"/>
        <w:sz w:val="16"/>
        <w:szCs w:val="16"/>
      </w:rPr>
      <w:tblPr/>
      <w:tcPr>
        <w:shd w:val="clear" w:color="auto" w:fill="373545"/>
      </w:tcPr>
    </w:tblStylePr>
    <w:tblStylePr w:type="firstCol">
      <w:rPr>
        <w:b/>
        <w:color w:val="373545"/>
        <w:sz w:val="16"/>
        <w:szCs w:val="16"/>
      </w:rPr>
    </w:tblStylePr>
    <w:tblStylePr w:type="band2Horz">
      <w:tblPr/>
      <w:tcPr>
        <w:shd w:val="clear" w:color="auto" w:fill="CCCCCC"/>
      </w:tcPr>
    </w:tblStylePr>
  </w:style>
  <w:style w:type="table" w:customStyle="1" w:styleId="a6">
    <w:basedOn w:val="TableNormal"/>
    <w:pPr>
      <w:spacing w:before="40" w:after="40" w:line="240" w:lineRule="auto"/>
    </w:pPr>
    <w:rPr>
      <w:rFonts w:ascii="Arial" w:eastAsia="Arial" w:hAnsi="Arial" w:cs="Arial"/>
      <w:color w:val="000000"/>
      <w:sz w:val="22"/>
      <w:szCs w:val="22"/>
    </w:rPr>
    <w:tblPr>
      <w:tblStyleRowBandSize w:val="1"/>
      <w:tblStyleColBandSize w:val="1"/>
      <w:tblCellMar>
        <w:left w:w="115" w:type="dxa"/>
        <w:right w:w="115" w:type="dxa"/>
      </w:tblCellMar>
    </w:tblPr>
    <w:tcPr>
      <w:shd w:val="clear" w:color="auto" w:fill="D1E6F6"/>
      <w:vAlign w:val="center"/>
    </w:tcPr>
    <w:tblStylePr w:type="firstRow">
      <w:pPr>
        <w:spacing w:before="0" w:after="0" w:line="240" w:lineRule="auto"/>
      </w:pPr>
      <w:rPr>
        <w:rFonts w:ascii="Arial" w:eastAsia="Arial" w:hAnsi="Arial" w:cs="Arial"/>
        <w:b/>
        <w:color w:val="CEDBE6"/>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373545"/>
      </w:tcPr>
    </w:tblStylePr>
    <w:tblStylePr w:type="lastRow">
      <w:pPr>
        <w:spacing w:before="0" w:after="0" w:line="240" w:lineRule="auto"/>
      </w:pPr>
      <w:rPr>
        <w:rFonts w:ascii="Arial" w:eastAsia="Arial" w:hAnsi="Arial" w:cs="Arial"/>
        <w:b w:val="0"/>
        <w:color w:val="CEDBE6"/>
        <w:sz w:val="16"/>
        <w:szCs w:val="16"/>
      </w:rPr>
      <w:tblPr/>
      <w:tcPr>
        <w:shd w:val="clear" w:color="auto" w:fill="373545"/>
      </w:tcPr>
    </w:tblStylePr>
    <w:tblStylePr w:type="firstCol">
      <w:rPr>
        <w:b/>
        <w:color w:val="373545"/>
        <w:sz w:val="16"/>
        <w:szCs w:val="16"/>
      </w:rPr>
    </w:tblStylePr>
    <w:tblStylePr w:type="band2Horz">
      <w:tblPr/>
      <w:tcPr>
        <w:shd w:val="clear" w:color="auto" w:fill="CCCCCC"/>
      </w:tcPr>
    </w:tblStylePr>
  </w:style>
  <w:style w:type="table" w:customStyle="1" w:styleId="a7">
    <w:basedOn w:val="TableNormal"/>
    <w:pPr>
      <w:spacing w:before="40" w:after="40" w:line="240" w:lineRule="auto"/>
    </w:pPr>
    <w:rPr>
      <w:rFonts w:ascii="Arial" w:eastAsia="Arial" w:hAnsi="Arial" w:cs="Arial"/>
      <w:color w:val="000000"/>
      <w:sz w:val="22"/>
      <w:szCs w:val="22"/>
    </w:rPr>
    <w:tblPr>
      <w:tblStyleRowBandSize w:val="1"/>
      <w:tblStyleColBandSize w:val="1"/>
      <w:tblCellMar>
        <w:top w:w="142" w:type="dxa"/>
        <w:left w:w="115" w:type="dxa"/>
        <w:right w:w="115" w:type="dxa"/>
      </w:tblCellMar>
    </w:tblPr>
    <w:tcPr>
      <w:shd w:val="clear" w:color="auto" w:fill="D1E6F6"/>
      <w:vAlign w:val="center"/>
    </w:tcPr>
  </w:style>
  <w:style w:type="table" w:customStyle="1" w:styleId="a8">
    <w:basedOn w:val="TableNormal"/>
    <w:pPr>
      <w:spacing w:before="40" w:after="40" w:line="240" w:lineRule="auto"/>
    </w:pPr>
    <w:rPr>
      <w:rFonts w:ascii="Arial" w:eastAsia="Arial" w:hAnsi="Arial" w:cs="Arial"/>
      <w:color w:val="000000"/>
      <w:sz w:val="22"/>
      <w:szCs w:val="22"/>
    </w:rPr>
    <w:tblPr>
      <w:tblStyleRowBandSize w:val="1"/>
      <w:tblStyleColBandSize w:val="1"/>
      <w:tblCellMar>
        <w:top w:w="142" w:type="dxa"/>
        <w:left w:w="115" w:type="dxa"/>
        <w:right w:w="115" w:type="dxa"/>
      </w:tblCellMar>
    </w:tblPr>
    <w:tcPr>
      <w:shd w:val="clear" w:color="auto" w:fill="D1E6F6"/>
      <w:vAlign w:val="center"/>
    </w:tcPr>
  </w:style>
  <w:style w:type="table" w:customStyle="1" w:styleId="a9">
    <w:basedOn w:val="TableNormal"/>
    <w:pPr>
      <w:spacing w:before="40" w:after="40" w:line="240" w:lineRule="auto"/>
    </w:pPr>
    <w:rPr>
      <w:rFonts w:ascii="Arial" w:eastAsia="Arial" w:hAnsi="Arial" w:cs="Arial"/>
      <w:color w:val="000000"/>
      <w:sz w:val="22"/>
      <w:szCs w:val="22"/>
    </w:rPr>
    <w:tblPr>
      <w:tblStyleRowBandSize w:val="1"/>
      <w:tblStyleColBandSize w:val="1"/>
      <w:tblCellMar>
        <w:top w:w="142" w:type="dxa"/>
        <w:left w:w="115" w:type="dxa"/>
        <w:right w:w="115" w:type="dxa"/>
      </w:tblCellMar>
    </w:tblPr>
    <w:tcPr>
      <w:shd w:val="clear" w:color="auto" w:fill="D1E6F6"/>
      <w:vAlign w:val="center"/>
    </w:tcPr>
  </w:style>
  <w:style w:type="table" w:customStyle="1" w:styleId="aa">
    <w:basedOn w:val="TableNormal"/>
    <w:pPr>
      <w:spacing w:before="40" w:after="40" w:line="240" w:lineRule="auto"/>
    </w:pPr>
    <w:rPr>
      <w:rFonts w:ascii="Arial" w:eastAsia="Arial" w:hAnsi="Arial" w:cs="Arial"/>
      <w:color w:val="000000"/>
      <w:sz w:val="22"/>
      <w:szCs w:val="22"/>
    </w:rPr>
    <w:tblPr>
      <w:tblStyleRowBandSize w:val="1"/>
      <w:tblStyleColBandSize w:val="1"/>
      <w:tblCellMar>
        <w:top w:w="28" w:type="dxa"/>
        <w:left w:w="115" w:type="dxa"/>
        <w:right w:w="115" w:type="dxa"/>
      </w:tblCellMar>
    </w:tblPr>
    <w:tcPr>
      <w:shd w:val="clear" w:color="auto" w:fill="D1E6F6"/>
      <w:vAlign w:val="center"/>
    </w:tcPr>
    <w:tblStylePr w:type="firstRow">
      <w:pPr>
        <w:spacing w:before="0" w:after="0" w:line="240" w:lineRule="auto"/>
      </w:pPr>
      <w:rPr>
        <w:rFonts w:ascii="Arial" w:eastAsia="Arial" w:hAnsi="Arial" w:cs="Arial"/>
        <w:b/>
        <w:color w:val="CEDBE6"/>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373545"/>
      </w:tcPr>
    </w:tblStylePr>
    <w:tblStylePr w:type="lastRow">
      <w:pPr>
        <w:spacing w:before="0" w:after="0" w:line="240" w:lineRule="auto"/>
      </w:pPr>
      <w:rPr>
        <w:rFonts w:ascii="Arial" w:eastAsia="Arial" w:hAnsi="Arial" w:cs="Arial"/>
        <w:b w:val="0"/>
        <w:color w:val="CEDBE6"/>
        <w:sz w:val="16"/>
        <w:szCs w:val="16"/>
      </w:rPr>
      <w:tblPr/>
      <w:tcPr>
        <w:shd w:val="clear" w:color="auto" w:fill="373545"/>
      </w:tcPr>
    </w:tblStylePr>
    <w:tblStylePr w:type="firstCol">
      <w:rPr>
        <w:b/>
        <w:color w:val="373545"/>
        <w:sz w:val="16"/>
        <w:szCs w:val="16"/>
      </w:rPr>
    </w:tblStylePr>
    <w:tblStylePr w:type="band2Horz">
      <w:tblPr/>
      <w:tcPr>
        <w:shd w:val="clear" w:color="auto" w:fill="CCCCCC"/>
      </w:tcPr>
    </w:tblStylePr>
  </w:style>
  <w:style w:type="table" w:customStyle="1" w:styleId="ab">
    <w:basedOn w:val="TableNormal"/>
    <w:pPr>
      <w:spacing w:before="40" w:after="40" w:line="240" w:lineRule="auto"/>
    </w:pPr>
    <w:rPr>
      <w:rFonts w:ascii="Arial" w:eastAsia="Arial" w:hAnsi="Arial" w:cs="Arial"/>
      <w:color w:val="000000"/>
      <w:sz w:val="22"/>
      <w:szCs w:val="22"/>
    </w:rPr>
    <w:tblPr>
      <w:tblStyleRowBandSize w:val="1"/>
      <w:tblStyleColBandSize w:val="1"/>
      <w:tblCellMar>
        <w:top w:w="113" w:type="dxa"/>
        <w:left w:w="115" w:type="dxa"/>
        <w:right w:w="115" w:type="dxa"/>
      </w:tblCellMar>
    </w:tblPr>
    <w:tcPr>
      <w:shd w:val="clear" w:color="auto" w:fill="D1E6F6"/>
      <w:vAlign w:val="center"/>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
    <w:pPr>
      <w:spacing w:before="40" w:after="40" w:line="240" w:lineRule="auto"/>
    </w:pPr>
    <w:rPr>
      <w:rFonts w:ascii="Arial" w:eastAsia="Arial" w:hAnsi="Arial" w:cs="Arial"/>
      <w:color w:val="000000"/>
      <w:sz w:val="22"/>
      <w:szCs w:val="22"/>
    </w:rPr>
    <w:tblPr>
      <w:tblStyleRowBandSize w:val="1"/>
      <w:tblStyleColBandSize w:val="1"/>
      <w:tblCellMar>
        <w:top w:w="85" w:type="dxa"/>
        <w:left w:w="115" w:type="dxa"/>
        <w:bottom w:w="85" w:type="dxa"/>
        <w:right w:w="115" w:type="dxa"/>
      </w:tblCellMar>
    </w:tblPr>
    <w:tcPr>
      <w:shd w:val="clear" w:color="auto" w:fill="D1E6F6"/>
      <w:vAlign w:val="center"/>
    </w:tcPr>
  </w:style>
  <w:style w:type="table" w:customStyle="1" w:styleId="ad">
    <w:basedOn w:val="TableNormal"/>
    <w:pPr>
      <w:spacing w:before="40" w:after="40" w:line="240" w:lineRule="auto"/>
    </w:pPr>
    <w:rPr>
      <w:rFonts w:ascii="Arial" w:eastAsia="Arial" w:hAnsi="Arial" w:cs="Arial"/>
      <w:color w:val="000000"/>
      <w:sz w:val="22"/>
      <w:szCs w:val="22"/>
    </w:rPr>
    <w:tblPr>
      <w:tblStyleRowBandSize w:val="1"/>
      <w:tblStyleColBandSize w:val="1"/>
      <w:tblCellMar>
        <w:left w:w="115" w:type="dxa"/>
        <w:right w:w="115" w:type="dxa"/>
      </w:tblCellMar>
    </w:tblPr>
    <w:tcPr>
      <w:shd w:val="clear" w:color="auto" w:fill="D1E6F6"/>
      <w:vAlign w:val="center"/>
    </w:tcPr>
    <w:tblStylePr w:type="firstRow">
      <w:pPr>
        <w:spacing w:before="0" w:after="0" w:line="240" w:lineRule="auto"/>
      </w:pPr>
      <w:rPr>
        <w:rFonts w:ascii="Arial" w:eastAsia="Arial" w:hAnsi="Arial" w:cs="Arial"/>
        <w:b/>
        <w:color w:val="CEDBE6"/>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373545"/>
      </w:tcPr>
    </w:tblStylePr>
    <w:tblStylePr w:type="lastRow">
      <w:pPr>
        <w:spacing w:before="0" w:after="0" w:line="240" w:lineRule="auto"/>
      </w:pPr>
      <w:rPr>
        <w:rFonts w:ascii="Arial" w:eastAsia="Arial" w:hAnsi="Arial" w:cs="Arial"/>
        <w:b w:val="0"/>
        <w:color w:val="CEDBE6"/>
        <w:sz w:val="16"/>
        <w:szCs w:val="16"/>
      </w:rPr>
      <w:tblPr/>
      <w:tcPr>
        <w:shd w:val="clear" w:color="auto" w:fill="373545"/>
      </w:tcPr>
    </w:tblStylePr>
    <w:tblStylePr w:type="firstCol">
      <w:rPr>
        <w:b/>
        <w:color w:val="373545"/>
        <w:sz w:val="16"/>
        <w:szCs w:val="16"/>
      </w:rPr>
    </w:tblStylePr>
    <w:tblStylePr w:type="band2Horz">
      <w:tblPr/>
      <w:tcPr>
        <w:shd w:val="clear" w:color="auto" w:fill="CCCCCC"/>
      </w:tcPr>
    </w:tblStylePr>
  </w:style>
  <w:style w:type="table" w:customStyle="1" w:styleId="ae">
    <w:basedOn w:val="TableNormal"/>
    <w:pPr>
      <w:spacing w:before="40" w:after="40" w:line="240" w:lineRule="auto"/>
    </w:pPr>
    <w:rPr>
      <w:rFonts w:ascii="Arial" w:eastAsia="Arial" w:hAnsi="Arial" w:cs="Arial"/>
      <w:color w:val="000000"/>
      <w:sz w:val="22"/>
      <w:szCs w:val="22"/>
    </w:rPr>
    <w:tblPr>
      <w:tblStyleRowBandSize w:val="1"/>
      <w:tblStyleColBandSize w:val="1"/>
      <w:tblCellMar>
        <w:left w:w="115" w:type="dxa"/>
        <w:right w:w="115" w:type="dxa"/>
      </w:tblCellMar>
    </w:tblPr>
    <w:tcPr>
      <w:shd w:val="clear" w:color="auto" w:fill="D1E6F6"/>
      <w:vAlign w:val="center"/>
    </w:tcPr>
    <w:tblStylePr w:type="firstRow">
      <w:pPr>
        <w:spacing w:before="0" w:after="0" w:line="240" w:lineRule="auto"/>
      </w:pPr>
      <w:rPr>
        <w:rFonts w:ascii="Arial" w:eastAsia="Arial" w:hAnsi="Arial" w:cs="Arial"/>
        <w:b/>
        <w:color w:val="CEDBE6"/>
        <w:sz w:val="16"/>
        <w:szCs w:val="16"/>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373545"/>
      </w:tcPr>
    </w:tblStylePr>
    <w:tblStylePr w:type="lastRow">
      <w:pPr>
        <w:spacing w:before="0" w:after="0" w:line="240" w:lineRule="auto"/>
      </w:pPr>
      <w:rPr>
        <w:rFonts w:ascii="Arial" w:eastAsia="Arial" w:hAnsi="Arial" w:cs="Arial"/>
        <w:b w:val="0"/>
        <w:color w:val="CEDBE6"/>
        <w:sz w:val="16"/>
        <w:szCs w:val="16"/>
      </w:rPr>
      <w:tblPr/>
      <w:tcPr>
        <w:shd w:val="clear" w:color="auto" w:fill="373545"/>
      </w:tcPr>
    </w:tblStylePr>
    <w:tblStylePr w:type="firstCol">
      <w:rPr>
        <w:b/>
        <w:color w:val="373545"/>
        <w:sz w:val="16"/>
        <w:szCs w:val="16"/>
      </w:rPr>
    </w:tblStylePr>
    <w:tblStylePr w:type="band2Horz">
      <w:tblPr/>
      <w:tcPr>
        <w:shd w:val="clear" w:color="auto" w:fill="CCCCCC"/>
      </w:tcPr>
    </w:tblStylePr>
  </w:style>
  <w:style w:type="paragraph" w:customStyle="1" w:styleId="paragraph">
    <w:name w:val="paragraph"/>
    <w:basedOn w:val="Normal"/>
    <w:rsid w:val="00407161"/>
    <w:pPr>
      <w:spacing w:before="100" w:beforeAutospacing="1" w:after="100" w:afterAutospacing="1" w:line="240" w:lineRule="auto"/>
    </w:pPr>
    <w:rPr>
      <w:rFonts w:ascii="Times New Roman" w:hAnsi="Times New Roman"/>
      <w:sz w:val="24"/>
      <w:lang w:val="en-ZA" w:eastAsia="en-ZA"/>
    </w:rPr>
  </w:style>
  <w:style w:type="character" w:customStyle="1" w:styleId="normaltextrun">
    <w:name w:val="normaltextrun"/>
    <w:basedOn w:val="DefaultParagraphFont"/>
    <w:rsid w:val="00407161"/>
  </w:style>
  <w:style w:type="character" w:customStyle="1" w:styleId="eop">
    <w:name w:val="eop"/>
    <w:basedOn w:val="DefaultParagraphFont"/>
    <w:rsid w:val="00407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2882">
      <w:bodyDiv w:val="1"/>
      <w:marLeft w:val="0"/>
      <w:marRight w:val="0"/>
      <w:marTop w:val="0"/>
      <w:marBottom w:val="0"/>
      <w:divBdr>
        <w:top w:val="none" w:sz="0" w:space="0" w:color="auto"/>
        <w:left w:val="none" w:sz="0" w:space="0" w:color="auto"/>
        <w:bottom w:val="none" w:sz="0" w:space="0" w:color="auto"/>
        <w:right w:val="none" w:sz="0" w:space="0" w:color="auto"/>
      </w:divBdr>
    </w:div>
    <w:div w:id="180314226">
      <w:bodyDiv w:val="1"/>
      <w:marLeft w:val="0"/>
      <w:marRight w:val="0"/>
      <w:marTop w:val="0"/>
      <w:marBottom w:val="0"/>
      <w:divBdr>
        <w:top w:val="none" w:sz="0" w:space="0" w:color="auto"/>
        <w:left w:val="none" w:sz="0" w:space="0" w:color="auto"/>
        <w:bottom w:val="none" w:sz="0" w:space="0" w:color="auto"/>
        <w:right w:val="none" w:sz="0" w:space="0" w:color="auto"/>
      </w:divBdr>
    </w:div>
    <w:div w:id="907350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27.jpg"/><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hyperlink" Target="https://pqrs.co.za/the-pv-quality-assurance-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pqrs.co.za/the-pv-quality-assurance-program/" TargetMode="External"/><Relationship Id="rId40" Type="http://schemas.openxmlformats.org/officeDocument/2006/relationships/hyperlink" Target="http://www.pvgreencard.co.za"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pvgreencard.co.za"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www.sseg.org.za/grid-impact-study-specification-gu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sseg.org.za" TargetMode="External"/><Relationship Id="rId43" Type="http://schemas.openxmlformats.org/officeDocument/2006/relationships/hyperlink" Target="https://www.sseg.org.za/wp-content/uploads/2019/03/Grid-Impact-Studies-P13162_SSEG_Guideline_National_V1.pdf"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GreenCapeTheme-v3">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GreenCapeTheme">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eenCapeTheme">
      <a:fillStyleLst>
        <a:solidFill>
          <a:schemeClr val="phClr"/>
        </a:solidFill>
        <a:solidFill>
          <a:schemeClr val="phClr"/>
        </a:solidFill>
        <a:solidFill>
          <a:schemeClr val="phClr"/>
        </a:soli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lt1"/>
        </a:solidFill>
        <a:solidFill>
          <a:schemeClr val="dk2">
            <a:satMod val="170000"/>
          </a:schemeClr>
        </a:solidFill>
        <a:solidFill>
          <a:schemeClr val="dk1"/>
        </a:solidFill>
      </a:bgFillStyleLst>
    </a:fmtScheme>
  </a:themeElements>
  <a:objectDefaults>
    <a:txDef>
      <a:spPr>
        <a:noFill/>
      </a:spPr>
      <a:bodyPr wrap="square" lIns="0" tIns="0" rIns="0" bIns="0" rtlCol="0">
        <a:spAutoFit/>
      </a:bodyPr>
      <a:lstStyle>
        <a:defPPr>
          <a:defRPr dirty="0" smtClean="0"/>
        </a:defPPr>
      </a:lstStyle>
    </a:txDef>
  </a:objectDefaults>
  <a:extraClrSchemeLst/>
  <a:extLst>
    <a:ext uri="{05A4C25C-085E-4340-85A3-A5531E510DB2}">
      <thm15:themeFamily xmlns:thm15="http://schemas.microsoft.com/office/thememl/2012/main" name="GreenCapeTheme-v3" id="{65750D17-AE5E-45AC-8654-6A3510587F3C}" vid="{775100D9-0AE5-497A-9334-C95F4DA3C7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C056B2C02A77419734561102CCD71D" ma:contentTypeVersion="17" ma:contentTypeDescription="Create a new document." ma:contentTypeScope="" ma:versionID="367a166a0b8c7eaa1bbaa405f16f7721">
  <xsd:schema xmlns:xsd="http://www.w3.org/2001/XMLSchema" xmlns:xs="http://www.w3.org/2001/XMLSchema" xmlns:p="http://schemas.microsoft.com/office/2006/metadata/properties" xmlns:ns2="8ec2cf5d-ef57-41be-a36e-a97ea5d4bd8d" xmlns:ns3="66658e94-0e53-4e3f-945b-f1e39d0dfe16" targetNamespace="http://schemas.microsoft.com/office/2006/metadata/properties" ma:root="true" ma:fieldsID="a27daa06dc7cc48e48081430b6d0030d" ns2:_="" ns3:_="">
    <xsd:import namespace="8ec2cf5d-ef57-41be-a36e-a97ea5d4bd8d"/>
    <xsd:import namespace="66658e94-0e53-4e3f-945b-f1e39d0dfe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Reject_x0020_or_x0020_Accept_x0020_Candidate_MG_x0020_Review"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2cf5d-ef57-41be-a36e-a97ea5d4b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Reject_x0020_or_x0020_Accept_x0020_Candidate_MG_x0020_Review" ma:index="21" nillable="true" ma:displayName="Reject or Accept Candidate_MG Review" ma:default="1" ma:internalName="Reject_x0020_or_x0020_Accept_x0020_Candidate_MG_x0020_Review">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d1c8e54-2ef6-49df-852d-8863a36455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658e94-0e53-4e3f-945b-f1e39d0dfe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99da26e-ddd7-4348-8e47-f420ef3d1678}" ma:internalName="TaxCatchAll" ma:showField="CatchAllData" ma:web="66658e94-0e53-4e3f-945b-f1e39d0dfe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EGw8AhxfADc8xlXJbMHnkDz+Ncw==">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</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17E30-24E5-4466-BFB3-46A49238F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2cf5d-ef57-41be-a36e-a97ea5d4bd8d"/>
    <ds:schemaRef ds:uri="66658e94-0e53-4e3f-945b-f1e39d0df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2533BF-3138-4DBE-95D6-880F93E65D2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78F6029-9467-40F8-9E54-B02989C3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32</Pages>
  <Words>9446</Words>
  <Characters>53848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 Radmore</dc:creator>
  <cp:lastModifiedBy>Johnson Siteto</cp:lastModifiedBy>
  <cp:revision>17</cp:revision>
  <cp:lastPrinted>2023-02-22T11:45:00Z</cp:lastPrinted>
  <dcterms:created xsi:type="dcterms:W3CDTF">2023-03-06T08:21:00Z</dcterms:created>
  <dcterms:modified xsi:type="dcterms:W3CDTF">2023-03-08T12:04:00Z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0x01010800492255FF5DB1064FBDA86AD5375C1AC4</vt:lpwstr>
  </property>
  <property fmtid="{D5CDD505-2E9C-101B-9397-08002B2CF9AE}" pid="3" name="WorkSite_DocRef">
    <vt:lpwstr>14263418v1</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http://www.zotero.org/styles/harvard-stellenbosch-university</vt:lpwstr>
  </property>
  <property fmtid="{D5CDD505-2E9C-101B-9397-08002B2CF9AE}" pid="23" name="Mendeley Recent Style Name 9_1">
    <vt:lpwstr>Stellenbosch University - Harvard</vt:lpwstr>
  </property>
</Properties>
</file>