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 Narrow" w:hAnsi="Arial Narrow"/>
          <w:sz w:val="24"/>
          <w:szCs w:val="24"/>
        </w:rPr>
        <w:id w:val="1624576133"/>
        <w:docPartObj>
          <w:docPartGallery w:val="Cover Pages"/>
          <w:docPartUnique/>
        </w:docPartObj>
      </w:sdtPr>
      <w:sdtEndPr>
        <w:rPr>
          <w:rFonts w:cs="Calibri,Bold"/>
          <w:b/>
          <w:bCs/>
        </w:rPr>
      </w:sdtEndPr>
      <w:sdtContent>
        <w:p w:rsidR="00C866CD" w:rsidRPr="00816669" w:rsidRDefault="00C866CD" w:rsidP="00F33494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816669">
            <w:rPr>
              <w:rFonts w:ascii="Arial" w:hAnsi="Arial" w:cs="Arial"/>
              <w:noProof/>
              <w:sz w:val="24"/>
              <w:szCs w:val="24"/>
              <w:lang w:eastAsia="en-Z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88C747" wp14:editId="1051EC3A">
                    <wp:simplePos x="0" y="0"/>
                    <wp:positionH relativeFrom="column">
                      <wp:posOffset>-47626</wp:posOffset>
                    </wp:positionH>
                    <wp:positionV relativeFrom="paragraph">
                      <wp:posOffset>-790575</wp:posOffset>
                    </wp:positionV>
                    <wp:extent cx="5876925" cy="2466975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76925" cy="2466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866CD" w:rsidRDefault="00C866CD" w:rsidP="00C866CD">
                                <w:r>
                                  <w:rPr>
                                    <w:noProof/>
                                    <w:lang w:eastAsia="en-ZA"/>
                                  </w:rPr>
                                  <w:drawing>
                                    <wp:inline distT="0" distB="0" distL="0" distR="0" wp14:anchorId="437F7D9A" wp14:editId="0D024C99">
                                      <wp:extent cx="3752850" cy="1498250"/>
                                      <wp:effectExtent l="0" t="0" r="0" b="6985"/>
                                      <wp:docPr id="6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57134" cy="1499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3.75pt;margin-top:-62.25pt;width:462.7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" filled="f" stroked="f" strokeweight=".5pt">
                    <v:textbox>
                      <w:txbxContent>
                        <w:p w:rsidR="00C866CD" w:rsidRDefault="00C866CD" w:rsidP="00C866CD">
                          <w:r>
                            <w:rPr>
                              <w:noProof/>
                              <w:lang w:eastAsia="en-ZA"/>
                            </w:rPr>
                            <w:drawing>
                              <wp:inline distT="0" distB="0" distL="0" distR="0" wp14:anchorId="437F7D9A" wp14:editId="0D024C99">
                                <wp:extent cx="3752850" cy="1498250"/>
                                <wp:effectExtent l="0" t="0" r="0" b="698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57134" cy="1499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866CD" w:rsidRPr="00816669" w:rsidRDefault="00C866CD" w:rsidP="00F33494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C866CD" w:rsidRPr="00816669" w:rsidRDefault="00C866CD" w:rsidP="00F33494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C866CD" w:rsidRPr="00816669" w:rsidRDefault="00C866CD" w:rsidP="00F33494">
          <w:pPr>
            <w:pBdr>
              <w:bottom w:val="single" w:sz="12" w:space="1" w:color="auto"/>
            </w:pBdr>
            <w:spacing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C866CD" w:rsidRPr="00816669" w:rsidRDefault="00C866CD" w:rsidP="001513A5">
          <w:pPr>
            <w:spacing w:line="36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816669">
            <w:rPr>
              <w:rFonts w:ascii="Arial" w:hAnsi="Arial" w:cs="Arial"/>
              <w:b/>
              <w:bCs/>
              <w:sz w:val="24"/>
              <w:szCs w:val="24"/>
            </w:rPr>
            <w:t>MAKANA MUNICIPALITY</w:t>
          </w:r>
        </w:p>
        <w:p w:rsidR="00C866CD" w:rsidRPr="00816669" w:rsidRDefault="00C866CD" w:rsidP="001513A5">
          <w:pPr>
            <w:pBdr>
              <w:bottom w:val="single" w:sz="12" w:space="1" w:color="auto"/>
            </w:pBdr>
            <w:spacing w:line="36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RATES POLICY</w:t>
          </w:r>
        </w:p>
        <w:p w:rsidR="00C866CD" w:rsidRPr="00816669" w:rsidRDefault="00C866CD" w:rsidP="00F33494">
          <w:pPr>
            <w:spacing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</w:p>
        <w:tbl>
          <w:tblPr>
            <w:tblStyle w:val="TableGrid"/>
            <w:tblW w:w="9285" w:type="dxa"/>
            <w:tblLook w:val="04A0" w:firstRow="1" w:lastRow="0" w:firstColumn="1" w:lastColumn="0" w:noHBand="0" w:noVBand="1"/>
          </w:tblPr>
          <w:tblGrid>
            <w:gridCol w:w="4621"/>
            <w:gridCol w:w="4664"/>
          </w:tblGrid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POLICY NUMBER:</w:t>
                </w:r>
              </w:p>
            </w:tc>
            <w:tc>
              <w:tcPr>
                <w:tcW w:w="4664" w:type="dxa"/>
              </w:tcPr>
              <w:p w:rsidR="00C866CD" w:rsidRPr="00816669" w:rsidRDefault="00AA5C14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1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POLICY NAME</w:t>
                </w:r>
              </w:p>
            </w:tc>
            <w:tc>
              <w:tcPr>
                <w:tcW w:w="4664" w:type="dxa"/>
              </w:tcPr>
              <w:p w:rsidR="00C866CD" w:rsidRPr="00816669" w:rsidRDefault="006D46D4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 RATES POLICY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POLICY STATUS </w:t>
                </w:r>
              </w:p>
            </w:tc>
            <w:tc>
              <w:tcPr>
                <w:tcW w:w="4664" w:type="dxa"/>
              </w:tcPr>
              <w:p w:rsidR="00C866CD" w:rsidRPr="00816669" w:rsidRDefault="006D46D4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FINAL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VERSION</w:t>
                </w:r>
              </w:p>
            </w:tc>
            <w:tc>
              <w:tcPr>
                <w:tcW w:w="4664" w:type="dxa"/>
              </w:tcPr>
              <w:p w:rsidR="00C866CD" w:rsidRPr="00816669" w:rsidRDefault="006D46D4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NO.</w:t>
                </w:r>
                <w:r w:rsidR="00AA5C1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DATE OF APPROVAL</w:t>
                </w:r>
              </w:p>
            </w:tc>
            <w:tc>
              <w:tcPr>
                <w:tcW w:w="4664" w:type="dxa"/>
              </w:tcPr>
              <w:p w:rsidR="00C866CD" w:rsidRPr="00816669" w:rsidRDefault="00CD4FEC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13 AUGUST 2013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DATE OF FIRST IMPLEMENTATION</w:t>
                </w:r>
              </w:p>
            </w:tc>
            <w:tc>
              <w:tcPr>
                <w:tcW w:w="4664" w:type="dxa"/>
              </w:tcPr>
              <w:p w:rsidR="00C866CD" w:rsidRPr="00816669" w:rsidRDefault="00C95341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01 July 2013</w:t>
                </w:r>
                <w:bookmarkStart w:id="0" w:name="_GoBack"/>
                <w:bookmarkEnd w:id="0"/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DATE OF LAST AMENDMEND</w:t>
                </w:r>
              </w:p>
            </w:tc>
            <w:tc>
              <w:tcPr>
                <w:tcW w:w="4664" w:type="dxa"/>
              </w:tcPr>
              <w:p w:rsidR="00C866CD" w:rsidRPr="00816669" w:rsidRDefault="00100C60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13 June 2013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DATE OF NEXT REVIEW</w:t>
                </w:r>
              </w:p>
            </w:tc>
            <w:tc>
              <w:tcPr>
                <w:tcW w:w="4664" w:type="dxa"/>
              </w:tcPr>
              <w:p w:rsidR="00C866CD" w:rsidRPr="00816669" w:rsidRDefault="00100C60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June 2014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PURPOSE </w:t>
                </w:r>
              </w:p>
            </w:tc>
            <w:tc>
              <w:tcPr>
                <w:tcW w:w="4664" w:type="dxa"/>
              </w:tcPr>
              <w:p w:rsidR="00C866CD" w:rsidRPr="00816669" w:rsidRDefault="006D46D4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SEE POLICY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AIMS AND OBJECTIVES</w:t>
                </w:r>
              </w:p>
            </w:tc>
            <w:tc>
              <w:tcPr>
                <w:tcW w:w="4664" w:type="dxa"/>
              </w:tcPr>
              <w:p w:rsidR="00C866CD" w:rsidRPr="00816669" w:rsidRDefault="006D46D4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SEE POLICY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POLICY CUSTODIAN</w:t>
                </w:r>
              </w:p>
            </w:tc>
            <w:tc>
              <w:tcPr>
                <w:tcW w:w="4664" w:type="dxa"/>
              </w:tcPr>
              <w:p w:rsidR="00C866CD" w:rsidRPr="00816669" w:rsidRDefault="006D46D4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DIRECTORATE: BUDGET AND TREASURY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RELATED PO</w:t>
                </w:r>
                <w:r w:rsidR="000367D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L</w:t>
                </w: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ICIES AND LEGISLATION</w:t>
                </w:r>
              </w:p>
            </w:tc>
            <w:tc>
              <w:tcPr>
                <w:tcW w:w="4664" w:type="dxa"/>
              </w:tcPr>
              <w:p w:rsidR="00C866CD" w:rsidRPr="00816669" w:rsidRDefault="003D609E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RATES ACT 6 OF 2004; </w:t>
                </w:r>
                <w:r w:rsidRPr="003D609E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MUNICIPAL SYSTEMS ACT NO: 32 OF 2000 AND MUNICIPAL FINANCE MANAGEMENT ACT NO: 56 OF 2003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APPROVING AUTHORITY</w:t>
                </w:r>
              </w:p>
            </w:tc>
            <w:tc>
              <w:tcPr>
                <w:tcW w:w="4664" w:type="dxa"/>
              </w:tcPr>
              <w:p w:rsidR="00C866CD" w:rsidRPr="00816669" w:rsidRDefault="006D46D4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COUNCIL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APPLICABILITY</w:t>
                </w:r>
              </w:p>
            </w:tc>
            <w:tc>
              <w:tcPr>
                <w:tcW w:w="4664" w:type="dxa"/>
              </w:tcPr>
              <w:p w:rsidR="00C866CD" w:rsidRPr="00816669" w:rsidRDefault="00FD7C77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This policy applies to the rates payers of the municipality.</w:t>
                </w: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POLICY BENCHMARK AND REFERENCES</w:t>
                </w:r>
              </w:p>
            </w:tc>
            <w:tc>
              <w:tcPr>
                <w:tcW w:w="4664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</w:p>
            </w:tc>
          </w:tr>
          <w:tr w:rsidR="00C866CD" w:rsidRPr="00816669" w:rsidTr="008F37D6">
            <w:tc>
              <w:tcPr>
                <w:tcW w:w="4621" w:type="dxa"/>
              </w:tcPr>
              <w:p w:rsidR="00C866CD" w:rsidRPr="00816669" w:rsidRDefault="00C866CD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1666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STAKEHOLDERS CONSULTED </w:t>
                </w:r>
              </w:p>
            </w:tc>
            <w:tc>
              <w:tcPr>
                <w:tcW w:w="4664" w:type="dxa"/>
              </w:tcPr>
              <w:p w:rsidR="00C866CD" w:rsidRPr="00816669" w:rsidRDefault="006D46D4" w:rsidP="00F3349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YES</w:t>
                </w:r>
              </w:p>
            </w:tc>
          </w:tr>
        </w:tbl>
        <w:p w:rsidR="00AF08D7" w:rsidRPr="00F84D7E" w:rsidRDefault="00AF08D7" w:rsidP="00F33494">
          <w:pPr>
            <w:jc w:val="both"/>
            <w:rPr>
              <w:rFonts w:ascii="Arial Narrow" w:hAnsi="Arial Narrow"/>
              <w:sz w:val="24"/>
              <w:szCs w:val="24"/>
            </w:rPr>
          </w:pPr>
        </w:p>
        <w:p w:rsidR="0038749A" w:rsidRDefault="00C95341" w:rsidP="00F3349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Narrow" w:hAnsi="Arial Narrow" w:cs="Calibri,Bold"/>
              <w:b/>
              <w:bCs/>
              <w:sz w:val="24"/>
              <w:szCs w:val="24"/>
            </w:rPr>
          </w:pPr>
        </w:p>
      </w:sdtContent>
    </w:sdt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PREAMBLE</w:t>
      </w:r>
    </w:p>
    <w:p w:rsidR="00B50BEC" w:rsidRPr="00EF095B" w:rsidRDefault="00B50BEC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In an attempt to ensure that the ratepayers residing within the Makana Municipal area of</w:t>
      </w:r>
      <w:r w:rsidR="00B50BE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jurisdiction, are levied property rates in a fair and equitable manner, the Makana Municipality</w:t>
      </w:r>
      <w:r w:rsidR="00EF095B" w:rsidRPr="00EF095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hereby approves the Rates Policy, as required by section 229 of the Constitution of the Republic</w:t>
      </w:r>
      <w:r w:rsidR="00B50BE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of South Africa (Act 108 of 1996) read in conjunction with the Municipal Property Rates Act No. 6</w:t>
      </w:r>
      <w:r w:rsidR="00B50BE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of 2004 and other government legislations and or regulations.</w:t>
      </w:r>
    </w:p>
    <w:p w:rsidR="00B50BEC" w:rsidRDefault="00B50BEC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50BEC" w:rsidRPr="00EF095B" w:rsidRDefault="00B50BEC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DEFINITION OF KEY WORDS</w:t>
      </w:r>
    </w:p>
    <w:p w:rsidR="00B50BEC" w:rsidRPr="00EF095B" w:rsidRDefault="00B50BEC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In this policy the following words shall have the meanings assigned as follows: -</w:t>
      </w:r>
    </w:p>
    <w:p w:rsidR="007832A3" w:rsidRPr="00EF095B" w:rsidRDefault="007832A3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1. “Act”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means the Local Government: Municipal Property Rates Act No. 6 of 2004,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2. “Accounting Officer”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refers to the Municipal Manager of the municipality,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3. “Annually”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once every financial year,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4. “Appeal Board”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means a valuation appeal board,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5. “By-law”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refers to the legislation passed by the council of a municipality binding in the</w:t>
      </w:r>
      <w:r w:rsidR="007832A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municipality on the persons to whom it applies,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6. “Chief Financial Officer”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refers to the head of the Budget and Treasury Business Unit,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7. “Finance Department”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refers to the municipal department dea</w:t>
      </w:r>
      <w:r w:rsidR="007832A3">
        <w:rPr>
          <w:rFonts w:ascii="Arial Narrow" w:hAnsi="Arial Narrow" w:cs="Arial"/>
          <w:color w:val="000000"/>
          <w:sz w:val="24"/>
          <w:szCs w:val="24"/>
        </w:rPr>
        <w:t xml:space="preserve">ling with the financial affairs </w:t>
      </w:r>
      <w:r w:rsidRPr="00EF095B">
        <w:rPr>
          <w:rFonts w:ascii="Arial Narrow" w:hAnsi="Arial Narrow" w:cs="Arial"/>
          <w:color w:val="000000"/>
          <w:sz w:val="24"/>
          <w:szCs w:val="24"/>
        </w:rPr>
        <w:t>of the municipality,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8. “Finance and Service Delivery Committee”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refers to the committee of council dealing</w:t>
      </w:r>
      <w:r w:rsidR="007832A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with the financial affairs of the municipality,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9. “Financial year”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means the period starting from 1st July in a year to 30th </w:t>
      </w:r>
      <w:r w:rsidR="007832A3">
        <w:rPr>
          <w:rFonts w:ascii="Arial Narrow" w:hAnsi="Arial Narrow" w:cs="Arial"/>
          <w:color w:val="000000"/>
          <w:sz w:val="24"/>
          <w:szCs w:val="24"/>
        </w:rPr>
        <w:t xml:space="preserve">June of the </w:t>
      </w:r>
      <w:r w:rsidRPr="00EF095B">
        <w:rPr>
          <w:rFonts w:ascii="Arial Narrow" w:hAnsi="Arial Narrow" w:cs="Arial"/>
          <w:color w:val="000000"/>
          <w:sz w:val="24"/>
          <w:szCs w:val="24"/>
        </w:rPr>
        <w:t>following year,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10. “Market value”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the amount the property would have </w:t>
      </w:r>
      <w:r w:rsidR="007832A3">
        <w:rPr>
          <w:rFonts w:ascii="Arial Narrow" w:hAnsi="Arial Narrow" w:cs="Arial"/>
          <w:color w:val="000000"/>
          <w:sz w:val="24"/>
          <w:szCs w:val="24"/>
        </w:rPr>
        <w:t xml:space="preserve">realised if sold on the date of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valuation in 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the </w:t>
      </w:r>
      <w:r w:rsidR="007832A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open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market by a willing seller to a willing buyer,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11. “Multiple purposes”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the use of a property for more than one purpose (e.g. B&amp;B and</w:t>
      </w:r>
      <w:r w:rsidR="007832A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private residential household),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12. “Municipal </w:t>
      </w:r>
      <w:proofErr w:type="spellStart"/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valuer</w:t>
      </w:r>
      <w:proofErr w:type="spellEnd"/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a person designated, registered and qualified in valuating properties,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13. “Newly rateable property”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any rateable property on which property rates were not levied</w:t>
      </w:r>
      <w:r w:rsidR="007832A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before the end of the financial year preceding the date on which the Municipal Property</w:t>
      </w:r>
      <w:r w:rsidR="00545ACD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Rates Act took effect, excluding a property which was incorrectly omitted from a valuation</w:t>
      </w:r>
      <w:r w:rsidR="00545ACD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roll and for that reason was not rated before that date, and also excluding the property</w:t>
      </w:r>
      <w:r w:rsidR="00545ACD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identified by the Minister by notice in the Gazette where the phasing-in of a rate is not</w:t>
      </w:r>
      <w:r w:rsidR="00545ACD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justified,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14. “Policy”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refers to the Rates Policy of the Makana Municipality,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15. “Property register”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a detailed register where all rateable properties are listed,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16. “Rateable property”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a property on which a municipality may levy rates, excluding property</w:t>
      </w:r>
      <w:r w:rsidR="00545ACD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fully excluded from the levying of rates,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17. “Rebate” </w:t>
      </w:r>
      <w:r w:rsidRPr="00EF095B">
        <w:rPr>
          <w:rFonts w:ascii="Arial Narrow" w:hAnsi="Arial Narrow" w:cs="Arial"/>
          <w:color w:val="000000"/>
          <w:sz w:val="24"/>
          <w:szCs w:val="24"/>
        </w:rPr>
        <w:t>amount granted as a discount on the amount payable for rates,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18. “Residential Property”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properties used for 100% residential purposes, categorised as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A</w:t>
      </w:r>
      <w:r w:rsidRPr="00EF095B">
        <w:rPr>
          <w:rFonts w:ascii="Arial Narrow" w:hAnsi="Arial Narrow" w:cs="Arial"/>
          <w:color w:val="000000"/>
          <w:sz w:val="24"/>
          <w:szCs w:val="24"/>
        </w:rPr>
        <w:t>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B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and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C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, with no aim of making any sort of business, be it Bed and Breakfast, </w:t>
      </w:r>
      <w:proofErr w:type="spellStart"/>
      <w:r w:rsidRPr="00EF095B">
        <w:rPr>
          <w:rFonts w:ascii="Arial Narrow" w:hAnsi="Arial Narrow" w:cs="Arial"/>
          <w:color w:val="000000"/>
          <w:sz w:val="24"/>
          <w:szCs w:val="24"/>
        </w:rPr>
        <w:t>Spazza</w:t>
      </w:r>
      <w:proofErr w:type="spellEnd"/>
      <w:r w:rsidR="00545ACD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Shop, etc.</w:t>
      </w:r>
    </w:p>
    <w:p w:rsidR="00545ACD" w:rsidRDefault="00545ACD" w:rsidP="00F33494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br w:type="page"/>
      </w:r>
    </w:p>
    <w:p w:rsidR="0038749A" w:rsidRDefault="0038749A" w:rsidP="00F334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lastRenderedPageBreak/>
        <w:t>TABLE OF CONTENTS</w:t>
      </w:r>
    </w:p>
    <w:p w:rsidR="00034B29" w:rsidRPr="00EF095B" w:rsidRDefault="00034B29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Page No.</w:t>
      </w:r>
    </w:p>
    <w:p w:rsidR="00C36113" w:rsidRDefault="00C36113" w:rsidP="00F33494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034B29" w:rsidRPr="00EF095B" w:rsidRDefault="00034B29" w:rsidP="00F33494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1. Legal Compliance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4 - 5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2. Scope of the Policy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5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3. Objectives of the Policy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5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4. Imposition of rates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5 – 6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5. Categories of rateable properties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6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6. Constitutionally impermissible rates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6</w:t>
      </w:r>
    </w:p>
    <w:p w:rsidR="00034B29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7. Permissible categories of properties where rates can be levied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in the </w:t>
      </w:r>
    </w:p>
    <w:p w:rsidR="0038749A" w:rsidRPr="00EF095B" w:rsidRDefault="00034B29" w:rsidP="00F3349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    </w:t>
      </w:r>
      <w:r w:rsidR="0038749A" w:rsidRPr="00EF095B">
        <w:rPr>
          <w:rFonts w:ascii="Arial Narrow" w:hAnsi="Arial Narrow" w:cs="Arial"/>
          <w:color w:val="000000"/>
          <w:sz w:val="24"/>
          <w:szCs w:val="24"/>
        </w:rPr>
        <w:t xml:space="preserve">Makana Municipal area of jurisdiction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="0038749A" w:rsidRPr="00EF095B">
        <w:rPr>
          <w:rFonts w:ascii="Arial Narrow" w:hAnsi="Arial Narrow" w:cs="Arial"/>
          <w:color w:val="000000"/>
          <w:sz w:val="24"/>
          <w:szCs w:val="24"/>
        </w:rPr>
        <w:t>7 - 8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8. Frequency of payments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8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9. Correction of errors and omissions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8 - 9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10. Frequency of valuations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9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11. Promulgation of resolution on levying of rates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9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12. Special rating areas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9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13. General valuation and preparation of Valuation Rolls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9 - 10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14. Commencements and period of validity of valuation rolls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10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15. By-Laws to give effect to Rates Policy</w:t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10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16. Effective date of the Rates Policy </w:t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="00477040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10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17. Application of discretion by the Chief Financial Officer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10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18. How will this Policy be successfully communicated?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10 - 11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19. Annual </w:t>
      </w:r>
      <w:proofErr w:type="spellStart"/>
      <w:r w:rsidRPr="00EF095B">
        <w:rPr>
          <w:rFonts w:ascii="Arial Narrow" w:hAnsi="Arial Narrow" w:cs="Arial"/>
          <w:color w:val="000000"/>
          <w:sz w:val="24"/>
          <w:szCs w:val="24"/>
        </w:rPr>
        <w:t>Reviewal</w:t>
      </w:r>
      <w:proofErr w:type="spell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of the Rates Policy </w:t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="00034B29">
        <w:rPr>
          <w:rFonts w:ascii="Arial Narrow" w:hAnsi="Arial Narrow" w:cs="Arial"/>
          <w:color w:val="000000"/>
          <w:sz w:val="24"/>
          <w:szCs w:val="24"/>
        </w:rPr>
        <w:tab/>
      </w:r>
      <w:r w:rsidRPr="00EF095B">
        <w:rPr>
          <w:rFonts w:ascii="Arial Narrow" w:hAnsi="Arial Narrow" w:cs="Arial"/>
          <w:color w:val="000000"/>
          <w:sz w:val="24"/>
          <w:szCs w:val="24"/>
        </w:rPr>
        <w:t>11</w:t>
      </w:r>
    </w:p>
    <w:p w:rsidR="00034B29" w:rsidRDefault="00034B29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34B29" w:rsidRDefault="00034B29" w:rsidP="00F33494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br w:type="page"/>
      </w:r>
    </w:p>
    <w:p w:rsidR="0038749A" w:rsidRPr="00F236C2" w:rsidRDefault="0038749A" w:rsidP="00F334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F236C2">
        <w:rPr>
          <w:rFonts w:ascii="Arial Narrow" w:hAnsi="Arial Narrow" w:cs="Arial"/>
          <w:b/>
          <w:bCs/>
          <w:color w:val="000000"/>
          <w:sz w:val="24"/>
          <w:szCs w:val="24"/>
        </w:rPr>
        <w:lastRenderedPageBreak/>
        <w:t>LEGAL COMPLIANCE</w:t>
      </w:r>
    </w:p>
    <w:p w:rsidR="00F236C2" w:rsidRPr="00F236C2" w:rsidRDefault="00F236C2" w:rsidP="00F334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Section 229 of the Constitution of the Republic of South Africa Act No.108 of 1996, read in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conjunction with section 4(1)(c) of the Municipal Systems Act 32 of 2000, enjoins municipalities the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right to levy a rate on properties in their area of jurisdiction, in order to finance their operational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expenses. In terms of section 62(1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)(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f)(ii) of the Municipal Finance Management Act No: 56 of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2003, and section of the Property Rates Act No: 6 of 2004, municipalities are compelled to adopt a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“Rates Policy” which must be in line with the Municipal Property Rates Act No. 6 of 2004, and in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fulfilment of Section 229 of the Constitution of the Republic of South Africa Act No.108 of 1996.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This policy must be developed or designed through “public participation” as required by the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Municipal Systems Act 32 of 2000 and Municipal Finance Management Act No: 56 of 2003.</w:t>
      </w:r>
    </w:p>
    <w:p w:rsidR="00F236C2" w:rsidRPr="00EF095B" w:rsidRDefault="00F236C2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In terms of the Property Rates Act No: 6 of 2004, the Municipal Council is expected to do the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following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: -</w:t>
      </w:r>
    </w:p>
    <w:p w:rsidR="00F236C2" w:rsidRPr="00EF095B" w:rsidRDefault="00F236C2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i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Section 3(1) – adopt a policy consistent with the Act on the levying of rates, on rateable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property in the municipality,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ii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Section 4(1) – before the municipality adopts the rates policy, the municipality must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follow a public participation process, in accordance with Chapter 4 of the Municipal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Systems Act 32 of 2000,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iii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Section 5(1) – must review and if it is necessary amend its rates policy,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(iv) Section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6(1) – adopt By-Laws to give effect to the implementation of its rates policy,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v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) Section 7(1) – must levy rates on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all rateable </w:t>
      </w:r>
      <w:r w:rsidRPr="00EF095B">
        <w:rPr>
          <w:rFonts w:ascii="Arial Narrow" w:hAnsi="Arial Narrow" w:cs="Arial"/>
          <w:color w:val="000000"/>
          <w:sz w:val="24"/>
          <w:szCs w:val="24"/>
        </w:rPr>
        <w:t>properties in its area of jurisdiction,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(vi) Section 8(1) – may levy different rates for different categories of rateable properties,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which may include categories determined according to the (a) use of the property, (b)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permitted use of the property, or (c) geographical area in which the property is situated,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(vii) Section 9(1) – must assign a category for properties used for multiple purpose, based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on dominant and permitted use of property,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viii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Section 10(1) – must levy the individual sectional title units, in case of properties subject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to a sectional title scheme,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(ix) Section 11(1) – must levy property owners an amount in the Rand on the market value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of the property, and in the case of a public service infrastructure on its market value less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30% of such value,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(x) </w:t>
      </w:r>
      <w:r w:rsidR="00F33494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Section 12(1) – must levy rates for a financial year,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(xi) </w:t>
      </w:r>
      <w:r w:rsidR="00F33494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Section 13(1) – rates become payable as from the start of the financial year,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xii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Section 14(1) – must pass a resolution supported by the majority of its members to levy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rates,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(xiii) Section 15(1) – may in terms of criteria set out in its rates policy exempt, reduce and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give rebates to specific category of owners,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(xiv) Section 16(1) – may not exercise its power to levy rates on property in a way that would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materially and unreasonably prejudice (a) national economic policies, (b) economic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activities across its boundaries, and (c) national mobility of goods, services, capital or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labour,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(xv) Section 17(1) – may not levy rates on various categories of properties including places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of worship, first 30% of the market value of the public service infrastructure, on mineral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rights, etc.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xvi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Section 19(1) – may not levy different rates on residential properties,</w:t>
      </w:r>
    </w:p>
    <w:p w:rsidR="0038749A" w:rsidRPr="00EF095B" w:rsidRDefault="0038749A" w:rsidP="00004E0C">
      <w:pPr>
        <w:autoSpaceDE w:val="0"/>
        <w:autoSpaceDN w:val="0"/>
        <w:adjustRightInd w:val="0"/>
        <w:spacing w:after="0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xvii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Section 21(1) – must phase in a rate on newly rateable properties over three financial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years,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38749A" w:rsidRPr="00EF095B" w:rsidRDefault="0038749A" w:rsidP="006F39C4">
      <w:pPr>
        <w:autoSpaceDE w:val="0"/>
        <w:autoSpaceDN w:val="0"/>
        <w:adjustRightInd w:val="0"/>
        <w:spacing w:after="0"/>
        <w:ind w:left="1985" w:hanging="1985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lastRenderedPageBreak/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xviii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Section 22(1) – may by resolution of its council determine an area within the municipality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as a </w:t>
      </w:r>
      <w:r w:rsidR="00F33494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Pr="00EF095B">
        <w:rPr>
          <w:rFonts w:ascii="Arial Narrow" w:hAnsi="Arial Narrow" w:cs="Arial"/>
          <w:color w:val="000000"/>
          <w:sz w:val="24"/>
          <w:szCs w:val="24"/>
        </w:rPr>
        <w:t>special rating area,</w:t>
      </w:r>
    </w:p>
    <w:p w:rsidR="0038749A" w:rsidRPr="00EF095B" w:rsidRDefault="0038749A" w:rsidP="006F39C4">
      <w:pPr>
        <w:autoSpaceDE w:val="0"/>
        <w:autoSpaceDN w:val="0"/>
        <w:adjustRightInd w:val="0"/>
        <w:spacing w:after="0"/>
        <w:ind w:left="1985" w:hanging="1985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xix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Section 23(1) – must draw up and maintain a register in respect of properties situated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within that </w:t>
      </w:r>
      <w:r w:rsidR="006F39C4">
        <w:rPr>
          <w:rFonts w:ascii="Arial Narrow" w:hAnsi="Arial Narrow" w:cs="Arial"/>
          <w:color w:val="000000"/>
          <w:sz w:val="24"/>
          <w:szCs w:val="24"/>
        </w:rPr>
        <w:t xml:space="preserve">     </w:t>
      </w:r>
      <w:r w:rsidRPr="00EF095B">
        <w:rPr>
          <w:rFonts w:ascii="Arial Narrow" w:hAnsi="Arial Narrow" w:cs="Arial"/>
          <w:color w:val="000000"/>
          <w:sz w:val="24"/>
          <w:szCs w:val="24"/>
        </w:rPr>
        <w:t>municipality,</w:t>
      </w:r>
    </w:p>
    <w:p w:rsidR="0038749A" w:rsidRPr="00EF095B" w:rsidRDefault="0038749A" w:rsidP="006F39C4">
      <w:pPr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(xx) Section 24(1) – must charge the owner of the property for rates, and he/she must pay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such rates in terms of the Credit Control and Debt Management Policy of the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municipality, as well as Chapter 9 of the Municipal Systems Act No: 32 of 2000,</w:t>
      </w:r>
    </w:p>
    <w:p w:rsidR="0038749A" w:rsidRPr="00EF095B" w:rsidRDefault="0038749A" w:rsidP="00004E0C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xxi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Section 25(1) – must levy rates to the owner of sectional unit, in case of sectional title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units,</w:t>
      </w:r>
    </w:p>
    <w:p w:rsidR="0038749A" w:rsidRPr="00EF095B" w:rsidRDefault="0038749A" w:rsidP="006F39C4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(xxii) Section 26(1) – must indicate the payment methods and times of payment with the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ratepayer concerned (e.g. monthly, once-off, bi-annually, etc.),</w:t>
      </w:r>
    </w:p>
    <w:p w:rsidR="0038749A" w:rsidRPr="00EF095B" w:rsidRDefault="0038749A" w:rsidP="00004E0C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xxiii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Section 27(1) – must furnish each person liable for the payment of rates with a written</w:t>
      </w:r>
      <w:r w:rsidR="00F236C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account,</w:t>
      </w:r>
    </w:p>
    <w:p w:rsidR="0038749A" w:rsidRDefault="0038749A" w:rsidP="00004E0C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xxiv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Section 30(1) – must conduct a general valuation of all rateable properties.</w:t>
      </w:r>
    </w:p>
    <w:p w:rsidR="00F236C2" w:rsidRDefault="00F236C2" w:rsidP="00F3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F236C2" w:rsidRPr="00EF095B" w:rsidRDefault="00F236C2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2D21D2" w:rsidRDefault="0038749A" w:rsidP="00F334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2D21D2">
        <w:rPr>
          <w:rFonts w:ascii="Arial Narrow" w:hAnsi="Arial Narrow" w:cs="Arial"/>
          <w:b/>
          <w:bCs/>
          <w:color w:val="000000"/>
          <w:sz w:val="24"/>
          <w:szCs w:val="24"/>
        </w:rPr>
        <w:t>SCOPE OF THE POLICY</w:t>
      </w:r>
    </w:p>
    <w:p w:rsidR="002D21D2" w:rsidRPr="002D21D2" w:rsidRDefault="002D21D2" w:rsidP="00F334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This policy applies to the Makana Municipality’s area of jurisdiction, and is applicable to all</w:t>
      </w:r>
      <w:r w:rsidR="002D21D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categories of ratepayers or property owners of the Makana Municipal area.</w:t>
      </w:r>
    </w:p>
    <w:p w:rsidR="002D21D2" w:rsidRPr="00EF095B" w:rsidRDefault="002D21D2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2D21D2" w:rsidRDefault="0038749A" w:rsidP="00F334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2D21D2">
        <w:rPr>
          <w:rFonts w:ascii="Arial Narrow" w:hAnsi="Arial Narrow" w:cs="Arial"/>
          <w:b/>
          <w:bCs/>
          <w:color w:val="000000"/>
          <w:sz w:val="24"/>
          <w:szCs w:val="24"/>
        </w:rPr>
        <w:t>OBJECTIVES OF THE POLICY</w:t>
      </w:r>
    </w:p>
    <w:p w:rsidR="002D21D2" w:rsidRPr="002D21D2" w:rsidRDefault="002D21D2" w:rsidP="00F334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The objectives of the Rates Policy of the Makana Municipality are as follows: -</w:t>
      </w:r>
    </w:p>
    <w:p w:rsidR="002D21D2" w:rsidRPr="00EF095B" w:rsidRDefault="002D21D2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i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Regulate the power of the municipality to levy rates, in terms of Section 229 of the</w:t>
      </w:r>
      <w:r w:rsidR="002D21D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Constitution of the Republic of South Africa,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(ii)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Ensure the fulfilment of public participation in developing and implementing a</w:t>
      </w:r>
      <w:r w:rsidR="002D21D2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Rates Policy, as required by the Property Rates Act No: 6 of 2004, read in</w:t>
      </w:r>
      <w:r w:rsidR="002D21D2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conjunction with other legislations such as Municipal Systems Act No: 32 of 2000</w:t>
      </w:r>
      <w:r w:rsidR="002D21D2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and Municipal Finance Management Act No: 56 of 2003,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(iii) Ensure that all rateable properties are levied equitable, transparent, uniform and fair</w:t>
      </w:r>
      <w:r w:rsidR="002D21D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rates,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(iv) Educate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ratepayers on reasons for paying for rates,</w:t>
      </w:r>
      <w:r w:rsidR="002D21D2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(v) Provide a uniform framework for regulating rating of property throughout the Makana</w:t>
      </w:r>
      <w:r w:rsidR="002D21D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Municipal area of jurisdiction,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(vi) Make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provision for fair and equitable valuation methods of properties,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(vii) Exclude certain properties in rating, in the national interest, or through exemptions,</w:t>
      </w:r>
      <w:r w:rsidR="002D21D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rebates and reductions,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(viii) Build economically and viable municipality that is able to achieve service delivery</w:t>
      </w:r>
      <w:r w:rsidR="002D21D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expectations.</w:t>
      </w:r>
    </w:p>
    <w:p w:rsidR="002D21D2" w:rsidRDefault="002D21D2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33685" w:rsidRPr="00EF095B" w:rsidRDefault="00333685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422B5A" w:rsidRDefault="0038749A" w:rsidP="00F334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422B5A">
        <w:rPr>
          <w:rFonts w:ascii="Arial Narrow" w:hAnsi="Arial Narrow" w:cs="Arial"/>
          <w:b/>
          <w:bCs/>
          <w:color w:val="000000"/>
          <w:sz w:val="24"/>
          <w:szCs w:val="24"/>
        </w:rPr>
        <w:t>IMPOSITION OF RATES</w:t>
      </w:r>
    </w:p>
    <w:p w:rsidR="00422B5A" w:rsidRPr="00422B5A" w:rsidRDefault="00422B5A" w:rsidP="00F334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The council shall as part of each annual operating budget component impose a rate in the rand on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the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market value of all rateable properties as recorded in the municipality’s valuation roll and</w:t>
      </w:r>
      <w:r w:rsidR="00F8028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supplementary valuation roll. Rateable property shall include any rights registered against such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property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, with the exception of a mortgage bond.</w:t>
      </w:r>
    </w:p>
    <w:p w:rsidR="00F80288" w:rsidRPr="00EF095B" w:rsidRDefault="00F80288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The council pledges itself to limit each annual increase as far as possible to the increase in the</w:t>
      </w:r>
      <w:r w:rsidR="00F8028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Consumer Price Index (CPI) over the period preceding the financial year to which the increase</w:t>
      </w:r>
      <w:r w:rsidR="00F8028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relates, except when the approved Integrated Development Plan (IDP) or budget plans of the</w:t>
      </w:r>
      <w:r w:rsidR="00F8028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municipality provides for a greater increase exceeding the guidelines provided by National</w:t>
      </w:r>
      <w:r w:rsidR="00F8028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Treasury and if so, such </w:t>
      </w:r>
      <w:r w:rsidRPr="00EF095B">
        <w:rPr>
          <w:rFonts w:ascii="Arial Narrow" w:hAnsi="Arial Narrow" w:cs="Arial"/>
          <w:color w:val="000000"/>
          <w:sz w:val="24"/>
          <w:szCs w:val="24"/>
        </w:rPr>
        <w:lastRenderedPageBreak/>
        <w:t>increases that exceed National Treasury guidelines be motivated as</w:t>
      </w:r>
      <w:r w:rsidR="00F8028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such.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It is the aim of this municipality to ensure that ratepayers are levied “fair rates” and</w:t>
      </w:r>
      <w:r w:rsidR="00F8028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economic vibrancy and development of the city is not killed at its infancy. It must be noted</w:t>
      </w:r>
      <w:r w:rsidR="00F8028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that in terms of Section 229(2</w:t>
      </w:r>
      <w:proofErr w:type="gramStart"/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)(</w:t>
      </w:r>
      <w:proofErr w:type="gramEnd"/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a) of the Constitution of the Republic of South Africa,</w:t>
      </w:r>
      <w:r w:rsidR="00F8028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municipality </w:t>
      </w:r>
      <w:r w:rsidRPr="00EF095B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 xml:space="preserve">may not exercise its </w:t>
      </w:r>
      <w:r w:rsidR="00F80288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>power to levy rates on property in a way that would</w:t>
      </w:r>
      <w:r w:rsidR="00F80288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>materially and unreasonably prejudice (a) national economic policy, (b) economic activities</w:t>
      </w:r>
      <w:r w:rsidR="00F80288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>across its boundaries, and (c) the national mobility of goods, services, capital or labour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.</w:t>
      </w:r>
    </w:p>
    <w:p w:rsidR="00F80288" w:rsidRDefault="00F80288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F80288" w:rsidRPr="00EF095B" w:rsidRDefault="00F80288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5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.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CATEGORIES OF RATEABLE PROPERTIES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The Property Rates Act enlists a large number of different categories of rateable properties, where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municipalities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can levy rates on, which include the following categories: -</w:t>
      </w:r>
    </w:p>
    <w:p w:rsidR="00F80288" w:rsidRPr="00EF095B" w:rsidRDefault="00F80288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(i) Residential Properties,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(ii) Industrial Properties,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(iii) Business and Commercial Properties,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(iv) Farm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properties (for different use),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(v) Farm Properties (not used for any purpose),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(vi) Small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holdings (used for various purposes),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(vii) State-owned properties,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(viii) Municipal properties,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(ix) Public Service Infrastructure (PSI),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(x) Privately owned towns serviced by the owner,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xi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) Communal Land,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(xii) State Trust Land,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(xiii) Protected Areas,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(xiv) Properties on which national monuments are proclaimed,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(xv) Properties owned by public benefit organisations,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(xvi) Properties used for multiple purposes.</w:t>
      </w:r>
    </w:p>
    <w:p w:rsidR="008A5742" w:rsidRDefault="008A5742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A5742" w:rsidRPr="00EF095B" w:rsidRDefault="008A5742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8A5742" w:rsidRDefault="0038749A" w:rsidP="00F334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8A5742">
        <w:rPr>
          <w:rFonts w:ascii="Arial Narrow" w:hAnsi="Arial Narrow" w:cs="Arial"/>
          <w:b/>
          <w:bCs/>
          <w:color w:val="000000"/>
          <w:sz w:val="24"/>
          <w:szCs w:val="24"/>
        </w:rPr>
        <w:t>CONSTITUTIONALLY IMPERMISSIBLE RATES</w:t>
      </w:r>
    </w:p>
    <w:p w:rsidR="008A5742" w:rsidRPr="008A5742" w:rsidRDefault="008A5742" w:rsidP="00F334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The Act also gives an indication of impermissible rates where municipalities are not permitted to</w:t>
      </w:r>
    </w:p>
    <w:p w:rsidR="008A5742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levy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rates on, and includes the following: -</w:t>
      </w:r>
    </w:p>
    <w:p w:rsidR="008A5742" w:rsidRDefault="008A5742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(i) On the first </w:t>
      </w:r>
      <w:r w:rsidR="00F8028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30% </w:t>
      </w:r>
      <w:r w:rsidRPr="00EF095B">
        <w:rPr>
          <w:rFonts w:ascii="Arial Narrow" w:hAnsi="Arial Narrow" w:cs="Arial"/>
          <w:color w:val="000000"/>
          <w:sz w:val="24"/>
          <w:szCs w:val="24"/>
        </w:rPr>
        <w:t>of the market value of public service infrastructure,</w:t>
      </w:r>
    </w:p>
    <w:p w:rsidR="0038749A" w:rsidRPr="00EF095B" w:rsidRDefault="0038749A" w:rsidP="00F3349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(ii) On any part of the seashore as defined by the Seashore Act of 1935,</w:t>
      </w:r>
    </w:p>
    <w:p w:rsidR="0038749A" w:rsidRPr="00EF095B" w:rsidRDefault="0038749A" w:rsidP="00F3349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(iii) On any part of the territorial waters in terms of the Maritime Zones Act of 1994,</w:t>
      </w:r>
    </w:p>
    <w:p w:rsidR="0038749A" w:rsidRPr="00EF095B" w:rsidRDefault="0038749A" w:rsidP="00F3349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(iv) Any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Island on which the state is the owner,</w:t>
      </w:r>
    </w:p>
    <w:p w:rsidR="0038749A" w:rsidRPr="00EF095B" w:rsidRDefault="0038749A" w:rsidP="00F3349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(v) Parts of special reserves and national parks,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(vi) Mineral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rights,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(vii) Property belonging to a land reform beneficiary (and this lapses within ten years</w:t>
      </w:r>
      <w:r w:rsidR="0043377F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from the date on which such beneficiary’s title was registered in the Office of the</w:t>
      </w:r>
      <w:r w:rsidR="0043377F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Registrar of Deeds),</w:t>
      </w:r>
    </w:p>
    <w:p w:rsidR="0038749A" w:rsidRPr="00EF095B" w:rsidRDefault="0038749A" w:rsidP="00F33494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(viii) On the first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R15 000 </w:t>
      </w:r>
      <w:r w:rsidRPr="00EF095B">
        <w:rPr>
          <w:rFonts w:ascii="Arial Narrow" w:hAnsi="Arial Narrow" w:cs="Arial"/>
          <w:color w:val="000000"/>
          <w:sz w:val="24"/>
          <w:szCs w:val="24"/>
        </w:rPr>
        <w:t>of the market value of the residential property assigned in the</w:t>
      </w:r>
      <w:r w:rsidR="0043377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valuation roll or supplementary valuation roll,</w:t>
      </w:r>
    </w:p>
    <w:p w:rsidR="0038749A" w:rsidRPr="00EF095B" w:rsidRDefault="0038749A" w:rsidP="00F33494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lastRenderedPageBreak/>
        <w:t>(ix) On municipal property such as public service infrastructure, refuse sites, municipal</w:t>
      </w:r>
      <w:r w:rsidR="0043377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burial grounds, public parks, property used for arts / culture and recreational facilities</w:t>
      </w:r>
      <w:r w:rsidR="0043377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and municipal housing schemes,</w:t>
      </w:r>
    </w:p>
    <w:p w:rsidR="0038749A" w:rsidRPr="00EF095B" w:rsidRDefault="0038749A" w:rsidP="00F33494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(x) On property used primarily as a place of public worship by a religious community,</w:t>
      </w:r>
      <w:r w:rsidR="0043377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including an official residence occupied by an office-bearer who officiates at services at</w:t>
      </w:r>
      <w:r w:rsidR="0043377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that place of worship.</w:t>
      </w:r>
    </w:p>
    <w:p w:rsidR="00670DDF" w:rsidRDefault="00670DDF" w:rsidP="00F33494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7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.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PERMISSIBLE CATEGORIES OF PROPERTIES WHERE RATES CAN BE LEVIED IN THE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MAKANA MUNICIPAL AREA OF JURISDICTION</w:t>
      </w:r>
    </w:p>
    <w:p w:rsidR="000708EB" w:rsidRPr="00EF095B" w:rsidRDefault="000708EB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Based on the above paragraphs, the following are categories of properties which the municipality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must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levy rates on, with different rate in a Rand (Cent in Rand), depending on the use of property:</w:t>
      </w:r>
    </w:p>
    <w:p w:rsidR="000708EB" w:rsidRPr="00EF095B" w:rsidRDefault="000708EB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426DE" w:rsidRPr="00345CFE" w:rsidTr="002426DE">
        <w:tc>
          <w:tcPr>
            <w:tcW w:w="3080" w:type="dxa"/>
            <w:vAlign w:val="center"/>
          </w:tcPr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b/>
                <w:color w:val="000000"/>
                <w:sz w:val="20"/>
                <w:szCs w:val="24"/>
              </w:rPr>
              <w:t>PROPERTY CATEGORY</w:t>
            </w:r>
          </w:p>
        </w:tc>
        <w:tc>
          <w:tcPr>
            <w:tcW w:w="3081" w:type="dxa"/>
            <w:vAlign w:val="center"/>
          </w:tcPr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b/>
                <w:color w:val="000000"/>
                <w:sz w:val="20"/>
                <w:szCs w:val="24"/>
              </w:rPr>
              <w:t>BRIEF DESCRIPTION</w:t>
            </w:r>
          </w:p>
        </w:tc>
        <w:tc>
          <w:tcPr>
            <w:tcW w:w="3081" w:type="dxa"/>
            <w:vAlign w:val="center"/>
          </w:tcPr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b/>
                <w:color w:val="000000"/>
                <w:sz w:val="20"/>
                <w:szCs w:val="24"/>
              </w:rPr>
              <w:t>REBATES, REDUCTIONS AND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b/>
                <w:color w:val="000000"/>
                <w:sz w:val="20"/>
                <w:szCs w:val="24"/>
              </w:rPr>
              <w:t>EXEMPTIONS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4"/>
              </w:rPr>
            </w:pPr>
          </w:p>
        </w:tc>
      </w:tr>
      <w:tr w:rsidR="002426DE" w:rsidRPr="00345CFE" w:rsidTr="002426DE">
        <w:tc>
          <w:tcPr>
            <w:tcW w:w="3080" w:type="dxa"/>
          </w:tcPr>
          <w:p w:rsidR="00C311FB" w:rsidRPr="00345CFE" w:rsidRDefault="00C311F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1. Business, Commercial</w:t>
            </w:r>
          </w:p>
          <w:p w:rsidR="00C311FB" w:rsidRPr="00345CFE" w:rsidRDefault="00C311F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&amp; Industrial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C311FB" w:rsidRPr="00345CFE" w:rsidRDefault="00C311F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Properties used for business, commercial or</w:t>
            </w:r>
          </w:p>
          <w:p w:rsidR="00C311FB" w:rsidRPr="00345CFE" w:rsidRDefault="00C311F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Industrial purposes.</w:t>
            </w:r>
          </w:p>
          <w:p w:rsidR="00C311FB" w:rsidRPr="00345CFE" w:rsidRDefault="00C311F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Rated as business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C311FB" w:rsidRPr="00345CFE" w:rsidRDefault="00C311F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N/A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</w:tr>
      <w:tr w:rsidR="002426DE" w:rsidRPr="00345CFE" w:rsidTr="002426DE">
        <w:tc>
          <w:tcPr>
            <w:tcW w:w="3080" w:type="dxa"/>
          </w:tcPr>
          <w:p w:rsidR="00431C9D" w:rsidRPr="00345CFE" w:rsidRDefault="00C311F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2. Residential</w:t>
            </w:r>
          </w:p>
          <w:p w:rsidR="00C311FB" w:rsidRPr="00345CFE" w:rsidRDefault="00C311F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431C9D" w:rsidRPr="00345CFE" w:rsidRDefault="00431C9D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2.1 Property used for residential purposes.</w:t>
            </w:r>
          </w:p>
          <w:p w:rsidR="002426DE" w:rsidRPr="00345CFE" w:rsidRDefault="00431C9D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2.2 Can be either A, B or C</w:t>
            </w:r>
          </w:p>
        </w:tc>
        <w:tc>
          <w:tcPr>
            <w:tcW w:w="3081" w:type="dxa"/>
          </w:tcPr>
          <w:p w:rsidR="00431C9D" w:rsidRPr="00345CFE" w:rsidRDefault="00431C9D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First R 15 000 is exempt.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</w:tr>
      <w:tr w:rsidR="002426DE" w:rsidRPr="00345CFE" w:rsidTr="002426DE">
        <w:tc>
          <w:tcPr>
            <w:tcW w:w="3080" w:type="dxa"/>
          </w:tcPr>
          <w:p w:rsidR="00F36FED" w:rsidRPr="00345CFE" w:rsidRDefault="00F36FED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3. Municipal (NB:</w:t>
            </w:r>
          </w:p>
          <w:p w:rsidR="00F36FED" w:rsidRPr="00345CFE" w:rsidRDefault="00F36FED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Municipal Buildings and</w:t>
            </w:r>
          </w:p>
          <w:p w:rsidR="00F36FED" w:rsidRPr="00345CFE" w:rsidRDefault="00F36FED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Public Service</w:t>
            </w:r>
          </w:p>
          <w:p w:rsidR="00F36FED" w:rsidRPr="00345CFE" w:rsidRDefault="00F36FED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Infrastructure must be</w:t>
            </w:r>
          </w:p>
          <w:p w:rsidR="002426DE" w:rsidRPr="00345CFE" w:rsidRDefault="00F36FED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totally exempt from rates) </w:t>
            </w:r>
          </w:p>
        </w:tc>
        <w:tc>
          <w:tcPr>
            <w:tcW w:w="3081" w:type="dxa"/>
          </w:tcPr>
          <w:p w:rsidR="00F36FED" w:rsidRPr="00345CFE" w:rsidRDefault="00F36FED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F36FED" w:rsidRPr="00345CFE" w:rsidRDefault="00F36FED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Properties leased to third parties 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2426DE" w:rsidRPr="00345CFE" w:rsidRDefault="00F36FED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N/A</w:t>
            </w:r>
          </w:p>
        </w:tc>
      </w:tr>
      <w:tr w:rsidR="002426DE" w:rsidRPr="00345CFE" w:rsidTr="002426DE">
        <w:tc>
          <w:tcPr>
            <w:tcW w:w="3080" w:type="dxa"/>
          </w:tcPr>
          <w:p w:rsidR="001B5312" w:rsidRPr="00345CFE" w:rsidRDefault="001B5312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4. State Owned 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1B5312" w:rsidRPr="00345CFE" w:rsidRDefault="001B5312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All Properties owned by State.</w:t>
            </w:r>
          </w:p>
          <w:p w:rsidR="001B5312" w:rsidRPr="00345CFE" w:rsidRDefault="001B5312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4.1 Residential</w:t>
            </w:r>
          </w:p>
          <w:p w:rsidR="001B5312" w:rsidRPr="00345CFE" w:rsidRDefault="001B5312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4.2 Business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1B5312" w:rsidRPr="00345CFE" w:rsidRDefault="001B5312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Residential rate LESS 20%.</w:t>
            </w:r>
          </w:p>
          <w:p w:rsidR="001B5312" w:rsidRPr="00345CFE" w:rsidRDefault="001B5312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Business rate LESS 20%.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</w:tr>
      <w:tr w:rsidR="002426DE" w:rsidRPr="00345CFE" w:rsidTr="002426DE">
        <w:tc>
          <w:tcPr>
            <w:tcW w:w="3080" w:type="dxa"/>
          </w:tcPr>
          <w:p w:rsidR="002426DE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5. Farming </w:t>
            </w:r>
          </w:p>
        </w:tc>
        <w:tc>
          <w:tcPr>
            <w:tcW w:w="3081" w:type="dxa"/>
          </w:tcPr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5.1 Bona-fide agricultural land (NB: Rate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based on business rate, less the total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reduction)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- Principle source </w:t>
            </w:r>
            <w:proofErr w:type="spellStart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if</w:t>
            </w:r>
            <w:proofErr w:type="spellEnd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income is from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proofErr w:type="gramStart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produce</w:t>
            </w:r>
            <w:proofErr w:type="gramEnd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of land.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Occupier/owner taxed by SARS as a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proofErr w:type="gramStart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farmer</w:t>
            </w:r>
            <w:proofErr w:type="gramEnd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Rated as business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5.2 Eco tourism (NB: Rate based on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business rate, less the total reduction)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Income derived from tourism</w:t>
            </w: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Rated as business</w:t>
            </w: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5.3 Game/Hunting (NB: Rate based on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business rate, less the total reduction)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Income derived from tourism and or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lastRenderedPageBreak/>
              <w:t>hunting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Rated as business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1. No Municipal Roads – 12.5%.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2. No Municipal Sewer – 12.5%.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3. No Municipal water – 12.5%.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4. No Municipal Refuse removal –12.5%.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5. No Municipal Electricity – 12.5%.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6. Residential accommodation for</w:t>
            </w: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proofErr w:type="gramStart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farm</w:t>
            </w:r>
            <w:proofErr w:type="gramEnd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workers – 12.5%.</w:t>
            </w: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TOTAL REDUCTION = 75%</w:t>
            </w: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1. No Municipal Roads – 10%.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2. No Municipal Sewer – 10%.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3. No Municipal water – 10%.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4. No Municipal Refuse removal –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10%.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5. No Municipal Electricity – 10%.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6. Residential accommodation for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proofErr w:type="gramStart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farm</w:t>
            </w:r>
            <w:proofErr w:type="gramEnd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workers – 10%.</w:t>
            </w: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TOTAL REDUCTION = 60%</w:t>
            </w:r>
          </w:p>
          <w:p w:rsid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1. No Municipal Roads – 12.5%.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2. No Municipal Sewer – 12.5%.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3. No Municipal water – 12.5%.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lastRenderedPageBreak/>
              <w:t>4. No Municipal Refuse removal –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12.5%.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5. No Municipal Electricity – 12.5%.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6. Residential accommodation for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proofErr w:type="gramStart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farm</w:t>
            </w:r>
            <w:proofErr w:type="gramEnd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workers – 12.5%.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TOTAL REDUCTION = 75%</w:t>
            </w: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345CFE" w:rsidRPr="00345CFE" w:rsidRDefault="00345CF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</w:tr>
      <w:tr w:rsidR="002426DE" w:rsidRPr="00345CFE" w:rsidTr="002426DE">
        <w:tc>
          <w:tcPr>
            <w:tcW w:w="3080" w:type="dxa"/>
          </w:tcPr>
          <w:p w:rsidR="00BF3A3B" w:rsidRPr="00345CFE" w:rsidRDefault="00BF3A3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lastRenderedPageBreak/>
              <w:t>6. Public Service</w:t>
            </w:r>
          </w:p>
          <w:p w:rsidR="00BF3A3B" w:rsidRPr="00345CFE" w:rsidRDefault="00BF3A3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Infrastructure (PSI)</w:t>
            </w:r>
          </w:p>
          <w:p w:rsidR="00BF3A3B" w:rsidRPr="00345CFE" w:rsidRDefault="00BF3A3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A54D43" w:rsidRPr="00345CFE" w:rsidRDefault="00A54D43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All infrastructure owned by the State, Telkom,</w:t>
            </w:r>
          </w:p>
          <w:p w:rsidR="00A54D43" w:rsidRDefault="00A54D43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Transnet etc. </w:t>
            </w:r>
          </w:p>
          <w:p w:rsidR="00A54D43" w:rsidRPr="00345CFE" w:rsidRDefault="00A54D43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Measurable &amp; quantifiable properties to be</w:t>
            </w:r>
          </w:p>
          <w:p w:rsidR="00A54D43" w:rsidRPr="00345CFE" w:rsidRDefault="00A54D43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proofErr w:type="gramStart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rated</w:t>
            </w:r>
            <w:proofErr w:type="gramEnd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.</w:t>
            </w:r>
          </w:p>
          <w:p w:rsidR="002426DE" w:rsidRPr="00345CFE" w:rsidRDefault="00A54D43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4"/>
              </w:rPr>
              <w:t>- Rated as business</w:t>
            </w:r>
          </w:p>
        </w:tc>
        <w:tc>
          <w:tcPr>
            <w:tcW w:w="3081" w:type="dxa"/>
          </w:tcPr>
          <w:p w:rsidR="00A54D43" w:rsidRPr="00345CFE" w:rsidRDefault="00A54D43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First 30% of market value - EXEMPT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</w:tr>
      <w:tr w:rsidR="002426DE" w:rsidRPr="00345CFE" w:rsidTr="002426DE">
        <w:tc>
          <w:tcPr>
            <w:tcW w:w="3080" w:type="dxa"/>
          </w:tcPr>
          <w:p w:rsidR="002426DE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7. Multiple Purpose </w:t>
            </w:r>
          </w:p>
        </w:tc>
        <w:tc>
          <w:tcPr>
            <w:tcW w:w="3081" w:type="dxa"/>
          </w:tcPr>
          <w:p w:rsidR="001C4C36" w:rsidRPr="00345CFE" w:rsidRDefault="001C4C36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Rated according to highest tariff applicable to</w:t>
            </w:r>
            <w:r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</w:t>
            </w: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permitted use. (e.g. Business, Agricultural,</w:t>
            </w:r>
            <w:r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</w:t>
            </w: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Residential </w:t>
            </w:r>
            <w:proofErr w:type="spellStart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etc</w:t>
            </w:r>
            <w:proofErr w:type="spellEnd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)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2426DE" w:rsidRPr="00345CFE" w:rsidRDefault="001C4C36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Depending on main use of property.</w:t>
            </w:r>
          </w:p>
        </w:tc>
      </w:tr>
      <w:tr w:rsidR="002426DE" w:rsidRPr="00345CFE" w:rsidTr="002426DE">
        <w:tc>
          <w:tcPr>
            <w:tcW w:w="3080" w:type="dxa"/>
          </w:tcPr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8</w:t>
            </w:r>
            <w:r w:rsidR="001C4C36">
              <w:rPr>
                <w:rFonts w:ascii="Arial Narrow" w:hAnsi="Arial Narrow" w:cs="Arial"/>
                <w:color w:val="000000"/>
                <w:sz w:val="20"/>
                <w:szCs w:val="24"/>
              </w:rPr>
              <w:t>.</w:t>
            </w: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Small Agricultural</w:t>
            </w:r>
          </w:p>
          <w:p w:rsidR="002426DE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Holdings</w:t>
            </w:r>
          </w:p>
        </w:tc>
        <w:tc>
          <w:tcPr>
            <w:tcW w:w="3081" w:type="dxa"/>
          </w:tcPr>
          <w:p w:rsidR="009451D0" w:rsidRPr="00345CFE" w:rsidRDefault="009451D0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9451D0" w:rsidRPr="00345CFE" w:rsidRDefault="009451D0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Small farm- usually for residential purposes. 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2426DE" w:rsidRPr="00345CFE" w:rsidRDefault="009451D0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Depending on main use of property.</w:t>
            </w:r>
          </w:p>
        </w:tc>
      </w:tr>
      <w:tr w:rsidR="002426DE" w:rsidRPr="00345CFE" w:rsidTr="002426DE">
        <w:tc>
          <w:tcPr>
            <w:tcW w:w="3080" w:type="dxa"/>
          </w:tcPr>
          <w:p w:rsidR="002426DE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9. Vacant land </w:t>
            </w:r>
          </w:p>
        </w:tc>
        <w:tc>
          <w:tcPr>
            <w:tcW w:w="3081" w:type="dxa"/>
          </w:tcPr>
          <w:p w:rsidR="002426DE" w:rsidRPr="00345CFE" w:rsidRDefault="00124629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Land with no improvements </w:t>
            </w:r>
          </w:p>
        </w:tc>
        <w:tc>
          <w:tcPr>
            <w:tcW w:w="3081" w:type="dxa"/>
          </w:tcPr>
          <w:p w:rsidR="002426DE" w:rsidRPr="00345CFE" w:rsidRDefault="00124629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Depending on zoning/main use of land</w:t>
            </w:r>
          </w:p>
        </w:tc>
      </w:tr>
      <w:tr w:rsidR="002426DE" w:rsidRPr="00345CFE" w:rsidTr="002426DE">
        <w:tc>
          <w:tcPr>
            <w:tcW w:w="3080" w:type="dxa"/>
          </w:tcPr>
          <w:p w:rsidR="002426DE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10. Mining Property </w:t>
            </w:r>
          </w:p>
        </w:tc>
        <w:tc>
          <w:tcPr>
            <w:tcW w:w="3081" w:type="dxa"/>
          </w:tcPr>
          <w:p w:rsidR="00FB18C8" w:rsidRPr="00345CFE" w:rsidRDefault="00FB18C8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Land used for mining purposes.</w:t>
            </w:r>
          </w:p>
          <w:p w:rsidR="00FB18C8" w:rsidRPr="00345CFE" w:rsidRDefault="00FB18C8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Rated as business, commercial or Industrial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FB18C8" w:rsidRPr="00345CFE" w:rsidRDefault="00FB18C8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Rate in Rand – 10%</w:t>
            </w:r>
          </w:p>
          <w:p w:rsidR="002426DE" w:rsidRPr="00345CFE" w:rsidRDefault="002426D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</w:tr>
      <w:tr w:rsidR="00F553AB" w:rsidRPr="00345CFE" w:rsidTr="002426DE">
        <w:tc>
          <w:tcPr>
            <w:tcW w:w="3080" w:type="dxa"/>
          </w:tcPr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11. Private Schools </w:t>
            </w:r>
          </w:p>
        </w:tc>
        <w:tc>
          <w:tcPr>
            <w:tcW w:w="3081" w:type="dxa"/>
          </w:tcPr>
          <w:p w:rsidR="00FB18C8" w:rsidRPr="00345CFE" w:rsidRDefault="00FB18C8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Privately owned schools</w:t>
            </w:r>
          </w:p>
          <w:p w:rsidR="00FB18C8" w:rsidRPr="00345CFE" w:rsidRDefault="00FB18C8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Rated as Business and based on business</w:t>
            </w:r>
          </w:p>
          <w:p w:rsidR="00FB18C8" w:rsidRPr="00345CFE" w:rsidRDefault="00FB18C8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rate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FB18C8" w:rsidRPr="00345CFE" w:rsidRDefault="00FB18C8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Depending on main use of properties</w:t>
            </w:r>
          </w:p>
          <w:p w:rsidR="00FB18C8" w:rsidRPr="00345CFE" w:rsidRDefault="00FB18C8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Rate in Rand – 20%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</w:tr>
      <w:tr w:rsidR="00F553AB" w:rsidRPr="00345CFE" w:rsidTr="002426DE">
        <w:tc>
          <w:tcPr>
            <w:tcW w:w="3080" w:type="dxa"/>
          </w:tcPr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12. Public Schools </w:t>
            </w:r>
          </w:p>
        </w:tc>
        <w:tc>
          <w:tcPr>
            <w:tcW w:w="3081" w:type="dxa"/>
          </w:tcPr>
          <w:p w:rsidR="00872A2F" w:rsidRPr="00345CFE" w:rsidRDefault="00872A2F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Schools owned by the State</w:t>
            </w:r>
          </w:p>
          <w:p w:rsidR="00872A2F" w:rsidRPr="00345CFE" w:rsidRDefault="00872A2F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Rated as Business and based on business</w:t>
            </w:r>
          </w:p>
          <w:p w:rsidR="00872A2F" w:rsidRPr="00345CFE" w:rsidRDefault="00872A2F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rate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872A2F" w:rsidRPr="00345CFE" w:rsidRDefault="00872A2F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Depending on main use of properties</w:t>
            </w:r>
          </w:p>
          <w:p w:rsidR="00872A2F" w:rsidRPr="00345CFE" w:rsidRDefault="00872A2F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Rate in Rand – 20%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</w:tr>
      <w:tr w:rsidR="00F553AB" w:rsidRPr="00345CFE" w:rsidTr="002426DE">
        <w:tc>
          <w:tcPr>
            <w:tcW w:w="3080" w:type="dxa"/>
          </w:tcPr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13. Bed &amp; Breakfast </w:t>
            </w:r>
          </w:p>
        </w:tc>
        <w:tc>
          <w:tcPr>
            <w:tcW w:w="3081" w:type="dxa"/>
          </w:tcPr>
          <w:p w:rsidR="00E20122" w:rsidRPr="00345CFE" w:rsidRDefault="00E20122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Properties used as 100% Bed and Breakfast</w:t>
            </w:r>
            <w:r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</w:t>
            </w: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facility (Rated as Business and based on</w:t>
            </w:r>
            <w:r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</w:t>
            </w: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business rate)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E20122" w:rsidRPr="00345CFE" w:rsidRDefault="00E20122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N/A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</w:tr>
      <w:tr w:rsidR="00F553AB" w:rsidRPr="00345CFE" w:rsidTr="002426DE">
        <w:tc>
          <w:tcPr>
            <w:tcW w:w="3080" w:type="dxa"/>
          </w:tcPr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14. Households headed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by children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F553AB" w:rsidRPr="00345CFE" w:rsidRDefault="00DE1A99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Households run by children due to HIV/Aids </w:t>
            </w:r>
          </w:p>
        </w:tc>
        <w:tc>
          <w:tcPr>
            <w:tcW w:w="3081" w:type="dxa"/>
          </w:tcPr>
          <w:p w:rsidR="00F553AB" w:rsidRPr="00345CFE" w:rsidRDefault="009F58C5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Residential rate – 100%</w:t>
            </w:r>
          </w:p>
        </w:tc>
      </w:tr>
      <w:tr w:rsidR="00F553AB" w:rsidRPr="00345CFE" w:rsidTr="002426DE">
        <w:tc>
          <w:tcPr>
            <w:tcW w:w="3080" w:type="dxa"/>
          </w:tcPr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15. Property owners who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proofErr w:type="gramStart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are</w:t>
            </w:r>
            <w:proofErr w:type="gramEnd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100% indigent.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730F5E" w:rsidRPr="00345CFE" w:rsidRDefault="00730F5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Properties where owners are registered as</w:t>
            </w:r>
          </w:p>
          <w:p w:rsidR="00730F5E" w:rsidRPr="00345CFE" w:rsidRDefault="00730F5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proofErr w:type="gramStart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being</w:t>
            </w:r>
            <w:proofErr w:type="gramEnd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100% indigent.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730F5E" w:rsidRPr="00345CFE" w:rsidRDefault="00730F5E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Residential rate – 100%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</w:tr>
      <w:tr w:rsidR="00F553AB" w:rsidRPr="00345CFE" w:rsidTr="002426DE">
        <w:tc>
          <w:tcPr>
            <w:tcW w:w="3080" w:type="dxa"/>
          </w:tcPr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16. Property owners who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are 60</w:t>
            </w:r>
            <w:r w:rsidR="00730F5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</w:t>
            </w: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years or older and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earn R 42 000 or less</w:t>
            </w:r>
          </w:p>
          <w:p w:rsidR="006B340C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proofErr w:type="gramStart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per</w:t>
            </w:r>
            <w:proofErr w:type="gramEnd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annum.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081" w:type="dxa"/>
          </w:tcPr>
          <w:p w:rsidR="006B340C" w:rsidRPr="00345CFE" w:rsidRDefault="006B340C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Properties where owners are 60 years or</w:t>
            </w:r>
            <w:r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</w:t>
            </w: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older from 1 July of the year of assessment</w:t>
            </w:r>
            <w:r w:rsidR="000710FC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</w:t>
            </w: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and earning R 42 000 or less per annum.</w:t>
            </w:r>
          </w:p>
          <w:p w:rsidR="006B340C" w:rsidRPr="00345CFE" w:rsidRDefault="006B340C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- Proof of income and age to be supplied, if</w:t>
            </w:r>
            <w:r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</w:t>
            </w: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the owner has another source of income, and</w:t>
            </w:r>
            <w:r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</w:t>
            </w: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more than one property in the Makana area of</w:t>
            </w:r>
          </w:p>
          <w:p w:rsidR="00F553AB" w:rsidRPr="00345CFE" w:rsidRDefault="006B340C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proofErr w:type="gramStart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jurisdiction</w:t>
            </w:r>
            <w:proofErr w:type="gramEnd"/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 xml:space="preserve"> he/she will be disqualified.</w:t>
            </w:r>
          </w:p>
        </w:tc>
        <w:tc>
          <w:tcPr>
            <w:tcW w:w="3081" w:type="dxa"/>
          </w:tcPr>
          <w:p w:rsidR="001E3415" w:rsidRPr="00345CFE" w:rsidRDefault="001E3415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  <w:r w:rsidRPr="00345CFE">
              <w:rPr>
                <w:rFonts w:ascii="Arial Narrow" w:hAnsi="Arial Narrow" w:cs="Arial"/>
                <w:color w:val="000000"/>
                <w:sz w:val="20"/>
                <w:szCs w:val="24"/>
              </w:rPr>
              <w:t>Residential rate – 100%</w:t>
            </w:r>
          </w:p>
          <w:p w:rsidR="00F553AB" w:rsidRPr="00345CFE" w:rsidRDefault="00F553AB" w:rsidP="00F33494">
            <w:pPr>
              <w:jc w:val="both"/>
              <w:rPr>
                <w:rFonts w:ascii="Arial Narrow" w:hAnsi="Arial Narrow" w:cs="Arial"/>
                <w:color w:val="000000"/>
                <w:sz w:val="20"/>
                <w:szCs w:val="24"/>
              </w:rPr>
            </w:pPr>
          </w:p>
        </w:tc>
      </w:tr>
    </w:tbl>
    <w:p w:rsidR="006C2517" w:rsidRPr="006C2517" w:rsidRDefault="006C2517" w:rsidP="00F33494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lastRenderedPageBreak/>
        <w:t xml:space="preserve">As can be seen some of the reductions, rebates and exemptions can only be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administered</w:t>
      </w:r>
      <w:r w:rsidR="006800C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through application form or request, </w:t>
      </w:r>
      <w:r w:rsidRPr="00EF095B">
        <w:rPr>
          <w:rFonts w:ascii="Arial Narrow" w:hAnsi="Arial Narrow" w:cs="Arial"/>
          <w:color w:val="000000"/>
          <w:sz w:val="24"/>
          <w:szCs w:val="24"/>
        </w:rPr>
        <w:t>as it will be practically impossible for neither the Municipal</w:t>
      </w:r>
      <w:r w:rsidR="006800C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Manager nor the Chief Financial Officer to know in detail the status applicable to different</w:t>
      </w:r>
      <w:r w:rsidR="006800C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households. The municipal manager shall ensure that the income forgone in respect of the</w:t>
      </w:r>
      <w:r w:rsidR="006800C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foregoing rebates, reductions and exemptions are appropriately disclosed in each annual</w:t>
      </w:r>
      <w:r w:rsidR="006800C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operating budget component and in the annual financial statements and annual report, and that</w:t>
      </w:r>
      <w:r w:rsidR="006800C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such rebates are also clearly indicated on the rates accounts submitted to each property owner.</w:t>
      </w:r>
    </w:p>
    <w:p w:rsidR="006800CB" w:rsidRPr="00EF095B" w:rsidRDefault="006800CB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Newly rateable properties and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land restitution houses </w:t>
      </w:r>
      <w:r w:rsidRPr="00EF095B">
        <w:rPr>
          <w:rFonts w:ascii="Arial Narrow" w:hAnsi="Arial Narrow" w:cs="Arial"/>
          <w:color w:val="000000"/>
          <w:sz w:val="24"/>
          <w:szCs w:val="24"/>
        </w:rPr>
        <w:t>will be dealt with in terms of section 21(1)</w:t>
      </w:r>
      <w:r w:rsidR="006800C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to (4) of the Property Rates Act No.6 of 2004 (where the Municipal Manager or his/her designate</w:t>
      </w:r>
      <w:r w:rsidR="006800C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applies phasing-in approach as determined by the Act). Rates applicable to agricultural properties</w:t>
      </w:r>
      <w:r w:rsidR="006800C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and public service infrastructure will be in terms of government gazette no. 32061 of March 2009.</w:t>
      </w:r>
    </w:p>
    <w:p w:rsidR="006800CB" w:rsidRPr="00EF095B" w:rsidRDefault="006800CB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Any other cases that have not been covered in this policy or that result to ambiguity will be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dealt</w:t>
      </w:r>
      <w:proofErr w:type="gramEnd"/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with by the Chief Financial Officer in terms of the Property Rates Act No. 6 of 2004.</w:t>
      </w:r>
    </w:p>
    <w:p w:rsidR="006800CB" w:rsidRPr="00EF095B" w:rsidRDefault="006800CB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8. FREQUENCY OF PAYMENTS</w:t>
      </w:r>
    </w:p>
    <w:p w:rsidR="006800CB" w:rsidRPr="00EF095B" w:rsidRDefault="006800CB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Payments for rates shall be made monthly on or before the date specified in each monthly rate</w:t>
      </w:r>
      <w:r w:rsidR="00D77A6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account. Rates can also be paid once a year or bi-annually depending on the financial position of</w:t>
      </w:r>
      <w:r w:rsidR="00D77A6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the ratepayer in question.</w:t>
      </w:r>
    </w:p>
    <w:p w:rsidR="00BE34BE" w:rsidRPr="00EF095B" w:rsidRDefault="00BE34BE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9. CORRECTION OF ERRORS AND OMISSIONS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Where the rates levied on a particular property have been incorrectly determined, whether</w:t>
      </w:r>
      <w:r w:rsidR="00D77A6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because of an error or omission on the part of the municipality or false information provided by the</w:t>
      </w:r>
      <w:r w:rsidR="00D77A6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property owner concerned or a contravention of the permitted use to which the property concerned</w:t>
      </w:r>
      <w:r w:rsidR="00D77A6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may be put, the rates payable shall be appropriately adjusted for the period extending from the</w:t>
      </w:r>
      <w:r w:rsidR="00D77A6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date on which the error or omission is detected back to the date on which rates were first levied in</w:t>
      </w:r>
      <w:r w:rsidR="00D77A6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terms of the current valuation roll. In addition, where the error occurred because of false</w:t>
      </w:r>
      <w:r w:rsidR="00D77A6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information provided by the property owner or as a result of a contravention of the permitted use of</w:t>
      </w:r>
      <w:r w:rsidR="00D77A6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the property concerned, interest on the unpaid portion of the adjusted rates payable shall be levied</w:t>
      </w:r>
      <w:r w:rsidR="00D77A6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at the maximum rate prescribed by prevailing legislation.</w:t>
      </w:r>
      <w:r w:rsidR="00D77A6B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D77A6B" w:rsidRPr="00EF095B" w:rsidRDefault="00D77A6B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10. FREQUENCY OF VALUATIONS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The municipality shall prepare a new valuation roll every 4 (four) financial years and a</w:t>
      </w:r>
      <w:r w:rsidR="00E962B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supplementary valuation rolls every 12 (twelve) months or whenever is required. In order to</w:t>
      </w:r>
      <w:r w:rsidR="00E962B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achieve this objective, the municipality must maintain a “Valuation Reserve” which must be </w:t>
      </w:r>
      <w:proofErr w:type="spellStart"/>
      <w:r w:rsidRPr="00EF095B">
        <w:rPr>
          <w:rFonts w:ascii="Arial Narrow" w:hAnsi="Arial Narrow" w:cs="Arial"/>
          <w:color w:val="000000"/>
          <w:sz w:val="24"/>
          <w:szCs w:val="24"/>
        </w:rPr>
        <w:t>cashbacked</w:t>
      </w:r>
      <w:proofErr w:type="spellEnd"/>
      <w:r w:rsidRPr="00EF095B">
        <w:rPr>
          <w:rFonts w:ascii="Arial Narrow" w:hAnsi="Arial Narrow" w:cs="Arial"/>
          <w:color w:val="000000"/>
          <w:sz w:val="24"/>
          <w:szCs w:val="24"/>
        </w:rPr>
        <w:t>,</w:t>
      </w:r>
      <w:r w:rsidR="00E962B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in order to defray valuation costs. This reserve must be maintained from the annual</w:t>
      </w:r>
      <w:r w:rsidR="00E962B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surpluses declared at the end of the financial year.</w:t>
      </w:r>
    </w:p>
    <w:p w:rsidR="00E962BE" w:rsidRPr="00EF095B" w:rsidRDefault="00E962BE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11. PROMULGATION OF RESOLUTIONS ON LEVYING OF RATES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A rate is levied by a municipality by a resolution passed by the council with a supporting vote of a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majority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of its members. The resolution levying the rates must be promulgated by publishing the</w:t>
      </w:r>
      <w:r w:rsidR="00E962B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resolution in the provincial gazette.</w:t>
      </w:r>
    </w:p>
    <w:p w:rsidR="00E962BE" w:rsidRPr="00EF095B" w:rsidRDefault="00E962BE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Whenever a municipality passes a resolution to levy rates, the municipal manager must, without</w:t>
      </w:r>
      <w:r w:rsidR="0008519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delay, conspicuously display the resolution for a period of at least 30 days at the municipality’s</w:t>
      </w:r>
      <w:r w:rsidR="0008519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head and satellite offices and libraries, and if the municipality has an official website or a website</w:t>
      </w:r>
      <w:r w:rsidR="0008519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is available to it, on that website as well; and advertise in the media a notice stating that the</w:t>
      </w:r>
      <w:r w:rsidR="0008519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resolution levying the </w:t>
      </w:r>
      <w:r w:rsidRPr="00EF095B">
        <w:rPr>
          <w:rFonts w:ascii="Arial Narrow" w:hAnsi="Arial Narrow" w:cs="Arial"/>
          <w:color w:val="000000"/>
          <w:sz w:val="24"/>
          <w:szCs w:val="24"/>
        </w:rPr>
        <w:lastRenderedPageBreak/>
        <w:t>property rates has been passed by the council, and that the resolution is</w:t>
      </w:r>
      <w:r w:rsidR="0008519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available at the municipality’s head and satellite offices and so forth.</w:t>
      </w:r>
    </w:p>
    <w:p w:rsidR="00085193" w:rsidRPr="00EF095B" w:rsidRDefault="00085193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12. SPECIAL RATING AREAS</w:t>
      </w:r>
    </w:p>
    <w:p w:rsidR="00AA2DDD" w:rsidRPr="00EF095B" w:rsidRDefault="00AA2DDD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A municipality may by a resolution of its council determine an area within that municipality as a</w:t>
      </w:r>
      <w:r w:rsidR="002E0670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special rating area, levy an additional rate on property in that area for the purpose of raising funds</w:t>
      </w:r>
      <w:r w:rsidR="002E0670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for improving or upgrading that area, and differentiate between categories of properties when</w:t>
      </w:r>
      <w:r w:rsidR="002E0670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levying such additional rate. For determining such a special rating area, the municipality must</w:t>
      </w:r>
      <w:r w:rsidR="002E0670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undertake a prescribed process of consultation with the local community, and obtain the consent</w:t>
      </w:r>
      <w:r w:rsidR="002E0670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of the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majority </w:t>
      </w:r>
      <w:r w:rsidRPr="00EF095B">
        <w:rPr>
          <w:rFonts w:ascii="Arial Narrow" w:hAnsi="Arial Narrow" w:cs="Arial"/>
          <w:color w:val="000000"/>
          <w:sz w:val="24"/>
          <w:szCs w:val="24"/>
        </w:rPr>
        <w:t>of the members of the local community in the proposed special rating area who will</w:t>
      </w:r>
      <w:r w:rsidR="002E0670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be liable for paying the additional rate. The municipality must develop and maintain a separate</w:t>
      </w:r>
      <w:r w:rsidR="002E0670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accounting system for this purpose. The levying of an additional rate may not be used to reinforce</w:t>
      </w:r>
      <w:r w:rsidR="002E0670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existing inequities in the development of the municipality, and any determination of a special rating</w:t>
      </w:r>
      <w:r w:rsidR="002E0670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area must be consistent with the objectives of the municipality’s IDP.</w:t>
      </w:r>
    </w:p>
    <w:p w:rsidR="002E0670" w:rsidRPr="00EF095B" w:rsidRDefault="002E0670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13. GENERAL VALUATION AND PREPARATION OF VALUATION ROLLS</w:t>
      </w:r>
    </w:p>
    <w:p w:rsidR="006A6191" w:rsidRPr="00EF095B" w:rsidRDefault="006A6191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A municipality intending to levy a rate on property must cause a general valuation to be made of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all properties in the municipality, and must prepare a valuation roll of all properties in terms of </w:t>
      </w: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such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 </w:t>
      </w:r>
      <w:r w:rsidRPr="00EF095B">
        <w:rPr>
          <w:rFonts w:ascii="Arial Narrow" w:hAnsi="Arial Narrow" w:cs="Arial"/>
          <w:color w:val="000000"/>
          <w:sz w:val="24"/>
          <w:szCs w:val="24"/>
        </w:rPr>
        <w:t>valuation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. All rateable properties in a municipal area must be valued during such general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valuation, including all properties fully or partially excluded from rates in terms of Section 17 of the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Act. However, if the municipality does not intend to levy rates on its own properties, on public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service infrastructure owned by a municipal entity, on rights in properties, and on properties in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respect of which it is impossible or unreasonably difficult to establish a market value because of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legally insecure tenure resulting from past racial discrimination, the municipality is not obliged to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value such properties as part of the valuation process.</w:t>
      </w:r>
    </w:p>
    <w:p w:rsidR="006A6191" w:rsidRPr="00EF095B" w:rsidRDefault="006A6191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A municipality may also apply to the Minister for exemption from the obligation to value properties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excluded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from rates in terms of Section 17 if the municipality can demonstrate that the valuation of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such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properties is too onerous for it, given its financial and administrative capacity. Properties,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which have not been valued, because of any of the foregoing considerations, must nevertheless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be included in the valuation roll. The valuation of properties must be conducted by the qualified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and registered </w:t>
      </w:r>
      <w:proofErr w:type="spellStart"/>
      <w:r w:rsidRPr="00EF095B">
        <w:rPr>
          <w:rFonts w:ascii="Arial Narrow" w:hAnsi="Arial Narrow" w:cs="Arial"/>
          <w:color w:val="000000"/>
          <w:sz w:val="24"/>
          <w:szCs w:val="24"/>
        </w:rPr>
        <w:t>valuers</w:t>
      </w:r>
      <w:proofErr w:type="spell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, and the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market value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of property is determined by property </w:t>
      </w:r>
      <w:proofErr w:type="spellStart"/>
      <w:r w:rsidRPr="00EF095B">
        <w:rPr>
          <w:rFonts w:ascii="Arial Narrow" w:hAnsi="Arial Narrow" w:cs="Arial"/>
          <w:color w:val="000000"/>
          <w:sz w:val="24"/>
          <w:szCs w:val="24"/>
        </w:rPr>
        <w:t>valuers</w:t>
      </w:r>
      <w:proofErr w:type="spell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for the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purpose calculating rates. A municipality must regularly, but at least once a year, update its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valuation roll by causing a supplementary valuation roll to be prepared, or the valuation roll itself to</w:t>
      </w:r>
      <w:r w:rsidR="006A619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be amended.</w:t>
      </w:r>
    </w:p>
    <w:p w:rsidR="006A6191" w:rsidRPr="00EF095B" w:rsidRDefault="006A6191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14. COMMENCEMENTS AND PERIOD OF VALIDITY OF VALUATION ROLLS</w:t>
      </w:r>
    </w:p>
    <w:p w:rsidR="00195518" w:rsidRPr="00EF095B" w:rsidRDefault="00195518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A valuation roll takes effect from the start of the financial year following completion of the public</w:t>
      </w:r>
      <w:r w:rsidR="003F455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inspection period required by the Act, and remains valid for that financial year or for one or more</w:t>
      </w:r>
      <w:r w:rsidR="003F455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subsequent financial years, as the municipality may decide, but in total not for more than four</w:t>
      </w:r>
      <w:r w:rsidR="003F455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financial years. Section 32(2) provides for the extension of the period of validity of the valuation roll</w:t>
      </w:r>
      <w:r w:rsidR="003F455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by the MEC for Local Government, but only up to a period of five financial years, and only in</w:t>
      </w:r>
      <w:r w:rsidR="003F455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specified circumstances.</w:t>
      </w:r>
    </w:p>
    <w:p w:rsidR="000A76EE" w:rsidRDefault="000A76EE" w:rsidP="00F33494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br w:type="page"/>
      </w:r>
    </w:p>
    <w:p w:rsidR="00812EF9" w:rsidRPr="00EF095B" w:rsidRDefault="00812EF9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15. BY-LAWS TO GIVE EFFECT TO RATES POLICY</w:t>
      </w:r>
    </w:p>
    <w:p w:rsidR="000A76EE" w:rsidRPr="00EF095B" w:rsidRDefault="000A76EE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The Property Rates Act No: 6 of 2004 requires that a municipality must adopt by-laws to give</w:t>
      </w:r>
      <w:r w:rsidR="000A76E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effect to the implementation of its rates policy, and such by-laws may differentiate between</w:t>
      </w:r>
      <w:r w:rsidR="000A76E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different categories of properties, and different categories of owners of properties liable for the</w:t>
      </w:r>
      <w:r w:rsidR="000A76E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payment of rates.</w:t>
      </w:r>
    </w:p>
    <w:p w:rsidR="000A76EE" w:rsidRPr="00EF095B" w:rsidRDefault="000A76EE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16. EFFECTIVE DATE OF THE RATES POLICY</w:t>
      </w:r>
    </w:p>
    <w:p w:rsidR="000A76EE" w:rsidRPr="00EF095B" w:rsidRDefault="000A76EE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This policy is effective from the 1st </w:t>
      </w:r>
      <w:r w:rsidR="00BF545D">
        <w:rPr>
          <w:rFonts w:ascii="Arial Narrow" w:hAnsi="Arial Narrow" w:cs="Arial"/>
          <w:color w:val="000000"/>
          <w:sz w:val="24"/>
          <w:szCs w:val="24"/>
        </w:rPr>
        <w:t>July 2013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until the 30th </w:t>
      </w:r>
      <w:r w:rsidR="00BF545D">
        <w:rPr>
          <w:rFonts w:ascii="Arial Narrow" w:hAnsi="Arial Narrow" w:cs="Arial"/>
          <w:color w:val="000000"/>
          <w:sz w:val="24"/>
          <w:szCs w:val="24"/>
        </w:rPr>
        <w:t>June 2014</w:t>
      </w:r>
      <w:r w:rsidRPr="00EF095B">
        <w:rPr>
          <w:rFonts w:ascii="Arial Narrow" w:hAnsi="Arial Narrow" w:cs="Arial"/>
          <w:color w:val="000000"/>
          <w:sz w:val="24"/>
          <w:szCs w:val="24"/>
        </w:rPr>
        <w:t>, and every financial year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thereafter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>.</w:t>
      </w:r>
    </w:p>
    <w:p w:rsidR="000A76EE" w:rsidRPr="00EF095B" w:rsidRDefault="000A76EE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17. APPLICATION OF DISCRETION BY THE CHIEF FINANCIAL OFFICER</w:t>
      </w:r>
    </w:p>
    <w:p w:rsidR="000A76EE" w:rsidRPr="00EF095B" w:rsidRDefault="000A76EE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In successfully applying this policy, the Chief Financial Officer is given authority to apply his/her</w:t>
      </w:r>
      <w:r w:rsidR="000A76E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discretion in cases where such discretion is purely needed, or ambiguity exists or a “grey area”</w:t>
      </w:r>
      <w:r w:rsidR="000A76E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prevails. This discretion shall be within the ambits of the Property Rates Act No. 6 of 2004, and</w:t>
      </w:r>
      <w:r w:rsidR="000A76E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any government regulations applicable in the implementation of the property rates.</w:t>
      </w:r>
      <w:r w:rsidR="000A76EE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0A76EE" w:rsidRPr="00EF095B" w:rsidRDefault="000A76EE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NB: The reality in the country is that social evils such as HIV/Aids have resulted to some</w:t>
      </w:r>
      <w:r w:rsidR="009F28CC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households being headed by kids under 18 years of age and this policy must always take</w:t>
      </w:r>
      <w:r w:rsidR="009F28CC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cognisance of such situations. Ward </w:t>
      </w:r>
      <w:proofErr w:type="spellStart"/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Councilors</w:t>
      </w:r>
      <w:proofErr w:type="spellEnd"/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are therefore responsible in identifying</w:t>
      </w:r>
      <w:r w:rsidR="009F28CC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families that are in that predicament, in their respective areas, and guide them accordingly.</w:t>
      </w:r>
    </w:p>
    <w:p w:rsidR="009F28CC" w:rsidRPr="00EF095B" w:rsidRDefault="009F28CC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18. HOW WILL THIS POLICY BE SUCCESSFULLY COMMUNICATED?</w:t>
      </w:r>
    </w:p>
    <w:p w:rsidR="00A37437" w:rsidRPr="00EF095B" w:rsidRDefault="00A37437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The success of this policy will depend on various key stakeholders that exist within the Makana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Municipal area of jurisdiction, including the following: -</w:t>
      </w:r>
    </w:p>
    <w:p w:rsidR="00B50C42" w:rsidRPr="00EF095B" w:rsidRDefault="00B50C42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CF12A3" w:rsidRDefault="0038749A" w:rsidP="00F334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F12A3">
        <w:rPr>
          <w:rFonts w:ascii="Arial Narrow" w:hAnsi="Arial Narrow" w:cs="Arial"/>
          <w:color w:val="000000"/>
          <w:sz w:val="24"/>
          <w:szCs w:val="24"/>
        </w:rPr>
        <w:t>Political Leadership (e.g. Executive Mayor, Councillors and Ward Committee Members),</w:t>
      </w:r>
    </w:p>
    <w:p w:rsidR="0038749A" w:rsidRPr="00CF12A3" w:rsidRDefault="0038749A" w:rsidP="00F334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F12A3">
        <w:rPr>
          <w:rFonts w:ascii="Arial Narrow" w:hAnsi="Arial Narrow" w:cs="Arial"/>
          <w:color w:val="000000"/>
          <w:sz w:val="24"/>
          <w:szCs w:val="24"/>
        </w:rPr>
        <w:t>Administrative Leadership (e.g. Municipal Manager and Directors of various Directorates or</w:t>
      </w:r>
      <w:r w:rsidR="00B50C42" w:rsidRPr="00CF12A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CF12A3">
        <w:rPr>
          <w:rFonts w:ascii="Arial Narrow" w:hAnsi="Arial Narrow" w:cs="Arial"/>
          <w:color w:val="000000"/>
          <w:sz w:val="24"/>
          <w:szCs w:val="24"/>
        </w:rPr>
        <w:t>Business Units),</w:t>
      </w: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CF12A3" w:rsidRDefault="0038749A" w:rsidP="00F334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F12A3">
        <w:rPr>
          <w:rFonts w:ascii="Arial Narrow" w:hAnsi="Arial Narrow" w:cs="Arial"/>
          <w:color w:val="000000"/>
          <w:sz w:val="24"/>
          <w:szCs w:val="24"/>
        </w:rPr>
        <w:t>All Employees of Council have the responsibility of being the mouthpiece of the municipality</w:t>
      </w:r>
    </w:p>
    <w:p w:rsidR="0038749A" w:rsidRPr="00CF12A3" w:rsidRDefault="0038749A" w:rsidP="00F334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CF12A3">
        <w:rPr>
          <w:rFonts w:ascii="Arial Narrow" w:hAnsi="Arial Narrow" w:cs="Arial"/>
          <w:color w:val="000000"/>
          <w:sz w:val="24"/>
          <w:szCs w:val="24"/>
        </w:rPr>
        <w:t>or</w:t>
      </w:r>
      <w:proofErr w:type="gramEnd"/>
      <w:r w:rsidRPr="00CF12A3">
        <w:rPr>
          <w:rFonts w:ascii="Arial Narrow" w:hAnsi="Arial Narrow" w:cs="Arial"/>
          <w:color w:val="000000"/>
          <w:sz w:val="24"/>
          <w:szCs w:val="24"/>
        </w:rPr>
        <w:t xml:space="preserve"> their employer, in as far as informing the members of the public about their benefits</w:t>
      </w:r>
    </w:p>
    <w:p w:rsidR="0038749A" w:rsidRDefault="0038749A" w:rsidP="00F334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CF12A3">
        <w:rPr>
          <w:rFonts w:ascii="Arial Narrow" w:hAnsi="Arial Narrow" w:cs="Arial"/>
          <w:color w:val="000000"/>
          <w:sz w:val="24"/>
          <w:szCs w:val="24"/>
        </w:rPr>
        <w:t>resulting</w:t>
      </w:r>
      <w:proofErr w:type="gramEnd"/>
      <w:r w:rsidRPr="00CF12A3">
        <w:rPr>
          <w:rFonts w:ascii="Arial Narrow" w:hAnsi="Arial Narrow" w:cs="Arial"/>
          <w:color w:val="000000"/>
          <w:sz w:val="24"/>
          <w:szCs w:val="24"/>
        </w:rPr>
        <w:t xml:space="preserve"> from this policy,</w:t>
      </w:r>
    </w:p>
    <w:p w:rsidR="0042347F" w:rsidRPr="00CF12A3" w:rsidRDefault="0042347F" w:rsidP="00F334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Lastly, this policy must be communicated to the communities residing at Makana Municipal area of</w:t>
      </w: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 w:rsidRPr="00EF095B">
        <w:rPr>
          <w:rFonts w:ascii="Arial Narrow" w:hAnsi="Arial Narrow" w:cs="Arial"/>
          <w:color w:val="000000"/>
          <w:sz w:val="24"/>
          <w:szCs w:val="24"/>
        </w:rPr>
        <w:t>jurisdiction</w:t>
      </w:r>
      <w:proofErr w:type="gramEnd"/>
      <w:r w:rsidRPr="00EF095B">
        <w:rPr>
          <w:rFonts w:ascii="Arial Narrow" w:hAnsi="Arial Narrow" w:cs="Arial"/>
          <w:color w:val="000000"/>
          <w:sz w:val="24"/>
          <w:szCs w:val="24"/>
        </w:rPr>
        <w:t xml:space="preserve"> through community newspapers, notices in the notice boards, municipal websites,</w:t>
      </w:r>
      <w:r w:rsidR="0042347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 xml:space="preserve">door-to-door campaigns, </w:t>
      </w:r>
      <w:proofErr w:type="spellStart"/>
      <w:r w:rsidRPr="00EF095B">
        <w:rPr>
          <w:rFonts w:ascii="Arial Narrow" w:hAnsi="Arial Narrow" w:cs="Arial"/>
          <w:color w:val="000000"/>
          <w:sz w:val="24"/>
          <w:szCs w:val="24"/>
        </w:rPr>
        <w:t>Imbizo</w:t>
      </w:r>
      <w:proofErr w:type="spellEnd"/>
      <w:r w:rsidRPr="00EF095B">
        <w:rPr>
          <w:rFonts w:ascii="Arial Narrow" w:hAnsi="Arial Narrow" w:cs="Arial"/>
          <w:color w:val="000000"/>
          <w:sz w:val="24"/>
          <w:szCs w:val="24"/>
        </w:rPr>
        <w:t>/Gatherings, municipal accounts, booklets, etc.</w:t>
      </w:r>
    </w:p>
    <w:p w:rsidR="0042347F" w:rsidRPr="00EF095B" w:rsidRDefault="0042347F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Lastly, the Municipal Manager must ensure that this policy is listed in the Municipality’s website,</w:t>
      </w:r>
      <w:r w:rsidR="0014110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and is accessible to the general public.</w:t>
      </w:r>
    </w:p>
    <w:p w:rsidR="0042347F" w:rsidRPr="00EF095B" w:rsidRDefault="0042347F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8749A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F095B">
        <w:rPr>
          <w:rFonts w:ascii="Arial Narrow" w:hAnsi="Arial Narrow" w:cs="Arial"/>
          <w:b/>
          <w:bCs/>
          <w:color w:val="000000"/>
          <w:sz w:val="24"/>
          <w:szCs w:val="24"/>
        </w:rPr>
        <w:t>19. ANNUAL REVIEWAL OF RATES POLICY</w:t>
      </w:r>
    </w:p>
    <w:p w:rsidR="000D507B" w:rsidRPr="00EF095B" w:rsidRDefault="000D507B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AF08D7" w:rsidRPr="00EF095B" w:rsidRDefault="0038749A" w:rsidP="00F334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,Bold"/>
          <w:b/>
          <w:bCs/>
          <w:sz w:val="24"/>
          <w:szCs w:val="24"/>
        </w:rPr>
      </w:pPr>
      <w:r w:rsidRPr="00EF095B">
        <w:rPr>
          <w:rFonts w:ascii="Arial Narrow" w:hAnsi="Arial Narrow" w:cs="Arial"/>
          <w:color w:val="000000"/>
          <w:sz w:val="24"/>
          <w:szCs w:val="24"/>
        </w:rPr>
        <w:t>This rates policy will be reviewed at least once a financial year, preferable during the budget</w:t>
      </w:r>
      <w:r w:rsidR="000D507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process, and will be finalised through public participation, as required by the Municipal Systems</w:t>
      </w:r>
      <w:r w:rsidR="000D507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Act No: 32 of 2000, and the Municipal Finance Management Act No: 56 of 2003, read together</w:t>
      </w:r>
      <w:r w:rsidR="000D507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095B">
        <w:rPr>
          <w:rFonts w:ascii="Arial Narrow" w:hAnsi="Arial Narrow" w:cs="Arial"/>
          <w:color w:val="000000"/>
          <w:sz w:val="24"/>
          <w:szCs w:val="24"/>
        </w:rPr>
        <w:t>with the Property Rates Act No: 6 of 2004.</w:t>
      </w:r>
    </w:p>
    <w:sectPr w:rsidR="00AF08D7" w:rsidRPr="00EF095B" w:rsidSect="00AF08D7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CA" w:rsidRDefault="00A168CA" w:rsidP="00994016">
      <w:pPr>
        <w:spacing w:after="0" w:line="240" w:lineRule="auto"/>
      </w:pPr>
      <w:r>
        <w:separator/>
      </w:r>
    </w:p>
  </w:endnote>
  <w:endnote w:type="continuationSeparator" w:id="0">
    <w:p w:rsidR="00A168CA" w:rsidRDefault="00A168CA" w:rsidP="0099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44059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77F45" w:rsidRDefault="00277F4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341" w:rsidRPr="00C9534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94016" w:rsidRDefault="00994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CA" w:rsidRDefault="00A168CA" w:rsidP="00994016">
      <w:pPr>
        <w:spacing w:after="0" w:line="240" w:lineRule="auto"/>
      </w:pPr>
      <w:r>
        <w:separator/>
      </w:r>
    </w:p>
  </w:footnote>
  <w:footnote w:type="continuationSeparator" w:id="0">
    <w:p w:rsidR="00A168CA" w:rsidRDefault="00A168CA" w:rsidP="00994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482D"/>
    <w:multiLevelType w:val="hybridMultilevel"/>
    <w:tmpl w:val="3C1EA2FE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C5C5F"/>
    <w:multiLevelType w:val="hybridMultilevel"/>
    <w:tmpl w:val="D7DA85A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D1000"/>
    <w:multiLevelType w:val="hybridMultilevel"/>
    <w:tmpl w:val="5F6C35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2B90"/>
    <w:multiLevelType w:val="hybridMultilevel"/>
    <w:tmpl w:val="EC180B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970DA"/>
    <w:multiLevelType w:val="hybridMultilevel"/>
    <w:tmpl w:val="58C041E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B184A"/>
    <w:multiLevelType w:val="hybridMultilevel"/>
    <w:tmpl w:val="EAE04D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80545"/>
    <w:multiLevelType w:val="hybridMultilevel"/>
    <w:tmpl w:val="A516D37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EA"/>
    <w:rsid w:val="00004E0C"/>
    <w:rsid w:val="00034B29"/>
    <w:rsid w:val="000367D9"/>
    <w:rsid w:val="000708EB"/>
    <w:rsid w:val="000710FC"/>
    <w:rsid w:val="00085193"/>
    <w:rsid w:val="000A76EE"/>
    <w:rsid w:val="000D507B"/>
    <w:rsid w:val="00100C60"/>
    <w:rsid w:val="00124629"/>
    <w:rsid w:val="00137DD5"/>
    <w:rsid w:val="0014110C"/>
    <w:rsid w:val="001513A5"/>
    <w:rsid w:val="00195518"/>
    <w:rsid w:val="001B5312"/>
    <w:rsid w:val="001C4C36"/>
    <w:rsid w:val="001E3415"/>
    <w:rsid w:val="002426DE"/>
    <w:rsid w:val="002559FC"/>
    <w:rsid w:val="00277F45"/>
    <w:rsid w:val="002D21D2"/>
    <w:rsid w:val="002E0670"/>
    <w:rsid w:val="003132A2"/>
    <w:rsid w:val="00333685"/>
    <w:rsid w:val="00345CFE"/>
    <w:rsid w:val="0038749A"/>
    <w:rsid w:val="00396A1F"/>
    <w:rsid w:val="003C166E"/>
    <w:rsid w:val="003D609E"/>
    <w:rsid w:val="003E1CCF"/>
    <w:rsid w:val="003F4558"/>
    <w:rsid w:val="00422B5A"/>
    <w:rsid w:val="0042347F"/>
    <w:rsid w:val="00431C9D"/>
    <w:rsid w:val="0043377F"/>
    <w:rsid w:val="00456FC3"/>
    <w:rsid w:val="004763AE"/>
    <w:rsid w:val="00477040"/>
    <w:rsid w:val="004A6FCD"/>
    <w:rsid w:val="004D1FB6"/>
    <w:rsid w:val="00504C70"/>
    <w:rsid w:val="00545ACD"/>
    <w:rsid w:val="00564553"/>
    <w:rsid w:val="0063294B"/>
    <w:rsid w:val="00633C0C"/>
    <w:rsid w:val="0064010D"/>
    <w:rsid w:val="0064266D"/>
    <w:rsid w:val="006570AB"/>
    <w:rsid w:val="00670DDF"/>
    <w:rsid w:val="006800CB"/>
    <w:rsid w:val="006A6191"/>
    <w:rsid w:val="006B340C"/>
    <w:rsid w:val="006C2517"/>
    <w:rsid w:val="006D46D4"/>
    <w:rsid w:val="006D6870"/>
    <w:rsid w:val="006F39C4"/>
    <w:rsid w:val="006F4574"/>
    <w:rsid w:val="00730F5E"/>
    <w:rsid w:val="0073102F"/>
    <w:rsid w:val="00736118"/>
    <w:rsid w:val="007832A3"/>
    <w:rsid w:val="007B2073"/>
    <w:rsid w:val="00812EF9"/>
    <w:rsid w:val="00833CAC"/>
    <w:rsid w:val="00841652"/>
    <w:rsid w:val="008621BA"/>
    <w:rsid w:val="00872A2F"/>
    <w:rsid w:val="00884C15"/>
    <w:rsid w:val="008A5742"/>
    <w:rsid w:val="008D5D16"/>
    <w:rsid w:val="008F37D6"/>
    <w:rsid w:val="00905D65"/>
    <w:rsid w:val="009451D0"/>
    <w:rsid w:val="00994016"/>
    <w:rsid w:val="009A1841"/>
    <w:rsid w:val="009F28CC"/>
    <w:rsid w:val="009F58C5"/>
    <w:rsid w:val="00A168CA"/>
    <w:rsid w:val="00A37437"/>
    <w:rsid w:val="00A54D43"/>
    <w:rsid w:val="00A63022"/>
    <w:rsid w:val="00A71C92"/>
    <w:rsid w:val="00AA2DDD"/>
    <w:rsid w:val="00AA5C14"/>
    <w:rsid w:val="00AF08D7"/>
    <w:rsid w:val="00B13157"/>
    <w:rsid w:val="00B40D70"/>
    <w:rsid w:val="00B50BEC"/>
    <w:rsid w:val="00B50C42"/>
    <w:rsid w:val="00B52E96"/>
    <w:rsid w:val="00B743D6"/>
    <w:rsid w:val="00BE34BE"/>
    <w:rsid w:val="00BF3A3B"/>
    <w:rsid w:val="00BF545D"/>
    <w:rsid w:val="00C311FB"/>
    <w:rsid w:val="00C36113"/>
    <w:rsid w:val="00C866CD"/>
    <w:rsid w:val="00C95341"/>
    <w:rsid w:val="00CA1AF4"/>
    <w:rsid w:val="00CD4FEC"/>
    <w:rsid w:val="00CD76C4"/>
    <w:rsid w:val="00CE745E"/>
    <w:rsid w:val="00CF12A3"/>
    <w:rsid w:val="00CF2DDF"/>
    <w:rsid w:val="00D11C58"/>
    <w:rsid w:val="00D77A6B"/>
    <w:rsid w:val="00DD453C"/>
    <w:rsid w:val="00DE1A99"/>
    <w:rsid w:val="00E20122"/>
    <w:rsid w:val="00E32323"/>
    <w:rsid w:val="00E342EA"/>
    <w:rsid w:val="00E962BE"/>
    <w:rsid w:val="00EF095B"/>
    <w:rsid w:val="00F1312D"/>
    <w:rsid w:val="00F236C2"/>
    <w:rsid w:val="00F33494"/>
    <w:rsid w:val="00F36FED"/>
    <w:rsid w:val="00F553AB"/>
    <w:rsid w:val="00F80288"/>
    <w:rsid w:val="00F84D7E"/>
    <w:rsid w:val="00F90B90"/>
    <w:rsid w:val="00FB18C8"/>
    <w:rsid w:val="00FD7C77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016"/>
  </w:style>
  <w:style w:type="paragraph" w:styleId="Footer">
    <w:name w:val="footer"/>
    <w:basedOn w:val="Normal"/>
    <w:link w:val="FooterChar"/>
    <w:uiPriority w:val="99"/>
    <w:unhideWhenUsed/>
    <w:rsid w:val="00994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016"/>
  </w:style>
  <w:style w:type="paragraph" w:styleId="NoSpacing">
    <w:name w:val="No Spacing"/>
    <w:link w:val="NoSpacingChar"/>
    <w:uiPriority w:val="1"/>
    <w:qFormat/>
    <w:rsid w:val="006D687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D6870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FC3"/>
    <w:pPr>
      <w:ind w:left="720"/>
      <w:contextualSpacing/>
    </w:pPr>
  </w:style>
  <w:style w:type="table" w:styleId="TableGrid">
    <w:name w:val="Table Grid"/>
    <w:basedOn w:val="TableNormal"/>
    <w:uiPriority w:val="59"/>
    <w:rsid w:val="0024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016"/>
  </w:style>
  <w:style w:type="paragraph" w:styleId="Footer">
    <w:name w:val="footer"/>
    <w:basedOn w:val="Normal"/>
    <w:link w:val="FooterChar"/>
    <w:uiPriority w:val="99"/>
    <w:unhideWhenUsed/>
    <w:rsid w:val="00994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016"/>
  </w:style>
  <w:style w:type="paragraph" w:styleId="NoSpacing">
    <w:name w:val="No Spacing"/>
    <w:link w:val="NoSpacingChar"/>
    <w:uiPriority w:val="1"/>
    <w:qFormat/>
    <w:rsid w:val="006D687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D6870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FC3"/>
    <w:pPr>
      <w:ind w:left="720"/>
      <w:contextualSpacing/>
    </w:pPr>
  </w:style>
  <w:style w:type="table" w:styleId="TableGrid">
    <w:name w:val="Table Grid"/>
    <w:basedOn w:val="TableNormal"/>
    <w:uiPriority w:val="59"/>
    <w:rsid w:val="0024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85D5-3C8A-457A-960D-97EF04E7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4054</Words>
  <Characters>23113</Characters>
  <Application>Microsoft Office Word</Application>
  <DocSecurity>4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POLICY</vt:lpstr>
    </vt:vector>
  </TitlesOfParts>
  <Company>MAKANA MUNICIPALITY</Company>
  <LinksUpToDate>false</LinksUpToDate>
  <CharactersWithSpaces>27113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POLICY</dc:title>
  <dc:subject>FAME Portfolio Committee – 13 June 2013 (for COMMENTS)Senior Management Team – 	(for COMMENTS)Council – 	(for APPROVAL)Implementation – Immediately after APPROVAL by Council</dc:subject>
  <dc:creator>B Trollip</dc:creator>
  <cp:lastModifiedBy>Diane May</cp:lastModifiedBy>
  <cp:revision>2</cp:revision>
  <dcterms:created xsi:type="dcterms:W3CDTF">2013-09-19T10:00:00Z</dcterms:created>
  <dcterms:modified xsi:type="dcterms:W3CDTF">2013-09-19T10:00:00Z</dcterms:modified>
</cp:coreProperties>
</file>