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B5C" w:rsidRDefault="00BF0B5C" w:rsidP="00CC006D">
      <w:pPr>
        <w:spacing w:before="240" w:line="240" w:lineRule="auto"/>
        <w:jc w:val="center"/>
        <w:rPr>
          <w:rFonts w:ascii="Arial Narrow" w:eastAsia="Arial Unicode MS" w:hAnsi="Arial Narrow"/>
          <w:b/>
          <w:noProof/>
          <w:sz w:val="24"/>
          <w:szCs w:val="24"/>
        </w:rPr>
      </w:pPr>
    </w:p>
    <w:p w:rsidR="000D77FD" w:rsidRDefault="000D77FD" w:rsidP="00CC006D">
      <w:pPr>
        <w:spacing w:before="240" w:line="240" w:lineRule="auto"/>
        <w:jc w:val="center"/>
        <w:rPr>
          <w:rFonts w:ascii="Arial Narrow" w:hAnsi="Arial Narrow"/>
          <w:sz w:val="72"/>
          <w:szCs w:val="72"/>
        </w:rPr>
      </w:pPr>
      <w:r>
        <w:rPr>
          <w:rFonts w:ascii="Arial Narrow" w:eastAsia="Arial Unicode MS" w:hAnsi="Arial Narrow"/>
          <w:b/>
          <w:noProof/>
          <w:sz w:val="24"/>
          <w:szCs w:val="24"/>
        </w:rPr>
        <w:drawing>
          <wp:anchor distT="0" distB="0" distL="114300" distR="114300" simplePos="0" relativeHeight="251658240" behindDoc="1" locked="0" layoutInCell="1" allowOverlap="1" wp14:anchorId="282B6C58" wp14:editId="24E84031">
            <wp:simplePos x="0" y="0"/>
            <wp:positionH relativeFrom="page">
              <wp:align>left</wp:align>
            </wp:positionH>
            <wp:positionV relativeFrom="page">
              <wp:posOffset>28575</wp:posOffset>
            </wp:positionV>
            <wp:extent cx="7560945" cy="10826750"/>
            <wp:effectExtent l="0" t="0" r="1905" b="0"/>
            <wp:wrapNone/>
            <wp:docPr id="2" name="Picture 2" descr="letterhe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945" cy="10826750"/>
                    </a:xfrm>
                    <a:prstGeom prst="rect">
                      <a:avLst/>
                    </a:prstGeom>
                    <a:noFill/>
                  </pic:spPr>
                </pic:pic>
              </a:graphicData>
            </a:graphic>
            <wp14:sizeRelH relativeFrom="page">
              <wp14:pctWidth>0</wp14:pctWidth>
            </wp14:sizeRelH>
            <wp14:sizeRelV relativeFrom="page">
              <wp14:pctHeight>0</wp14:pctHeight>
            </wp14:sizeRelV>
          </wp:anchor>
        </w:drawing>
      </w:r>
    </w:p>
    <w:p w:rsidR="000D77FD" w:rsidRDefault="000D77FD" w:rsidP="00CC006D">
      <w:pPr>
        <w:spacing w:before="240" w:line="240" w:lineRule="auto"/>
        <w:jc w:val="center"/>
        <w:rPr>
          <w:rFonts w:ascii="Arial Narrow" w:hAnsi="Arial Narrow"/>
          <w:sz w:val="72"/>
          <w:szCs w:val="72"/>
        </w:rPr>
      </w:pPr>
    </w:p>
    <w:p w:rsidR="000D77FD" w:rsidRDefault="000D77FD" w:rsidP="00CC006D">
      <w:pPr>
        <w:spacing w:before="240" w:line="240" w:lineRule="auto"/>
        <w:jc w:val="center"/>
        <w:rPr>
          <w:rFonts w:ascii="Arial Narrow" w:hAnsi="Arial Narrow"/>
          <w:sz w:val="72"/>
          <w:szCs w:val="72"/>
        </w:rPr>
      </w:pPr>
    </w:p>
    <w:p w:rsidR="000D77FD" w:rsidRDefault="000D77FD" w:rsidP="00CC006D">
      <w:pPr>
        <w:spacing w:before="240" w:line="240" w:lineRule="auto"/>
        <w:jc w:val="center"/>
        <w:rPr>
          <w:rFonts w:ascii="Arial Narrow" w:hAnsi="Arial Narrow"/>
          <w:sz w:val="72"/>
          <w:szCs w:val="72"/>
        </w:rPr>
      </w:pPr>
    </w:p>
    <w:p w:rsidR="000D77FD" w:rsidRPr="00BF0B5C" w:rsidRDefault="000D77FD" w:rsidP="00CC006D">
      <w:pPr>
        <w:spacing w:before="240" w:line="240" w:lineRule="auto"/>
        <w:jc w:val="center"/>
        <w:rPr>
          <w:rFonts w:ascii="Arial Narrow" w:hAnsi="Arial Narrow"/>
          <w:sz w:val="48"/>
          <w:szCs w:val="48"/>
        </w:rPr>
      </w:pPr>
    </w:p>
    <w:p w:rsidR="00BF0B5C" w:rsidRDefault="000D77FD" w:rsidP="00CC006D">
      <w:pPr>
        <w:spacing w:before="240" w:line="240" w:lineRule="auto"/>
        <w:jc w:val="center"/>
        <w:rPr>
          <w:rFonts w:ascii="Albertus MT Lt" w:hAnsi="Albertus MT Lt"/>
          <w:sz w:val="48"/>
          <w:szCs w:val="48"/>
        </w:rPr>
      </w:pPr>
      <w:r w:rsidRPr="00BF0B5C">
        <w:rPr>
          <w:rFonts w:ascii="Albertus MT Lt" w:hAnsi="Albertus MT Lt"/>
          <w:sz w:val="48"/>
          <w:szCs w:val="48"/>
        </w:rPr>
        <w:t>MID YEAR BUDGET AND</w:t>
      </w:r>
      <w:r w:rsidR="00BF0B5C" w:rsidRPr="00BF0B5C">
        <w:rPr>
          <w:rFonts w:ascii="Albertus MT Lt" w:hAnsi="Albertus MT Lt"/>
          <w:sz w:val="48"/>
          <w:szCs w:val="48"/>
        </w:rPr>
        <w:t xml:space="preserve"> </w:t>
      </w:r>
      <w:r w:rsidRPr="00BF0B5C">
        <w:rPr>
          <w:rFonts w:ascii="Albertus MT Lt" w:hAnsi="Albertus MT Lt"/>
          <w:sz w:val="48"/>
          <w:szCs w:val="48"/>
        </w:rPr>
        <w:t xml:space="preserve">PERFORMANCE ASSESSMENT </w:t>
      </w:r>
    </w:p>
    <w:p w:rsidR="000D77FD" w:rsidRPr="00BF0B5C" w:rsidRDefault="00BF0B5C" w:rsidP="00CC006D">
      <w:pPr>
        <w:spacing w:before="240" w:line="240" w:lineRule="auto"/>
        <w:jc w:val="center"/>
        <w:rPr>
          <w:rFonts w:ascii="Albertus MT Lt" w:hAnsi="Albertus MT Lt"/>
          <w:sz w:val="48"/>
          <w:szCs w:val="48"/>
        </w:rPr>
      </w:pPr>
      <w:r w:rsidRPr="00BF0B5C">
        <w:rPr>
          <w:rFonts w:ascii="Albertus MT Lt" w:hAnsi="Albertus MT Lt"/>
          <w:sz w:val="48"/>
          <w:szCs w:val="48"/>
        </w:rPr>
        <w:t>31 DECEMBER 2015</w:t>
      </w:r>
    </w:p>
    <w:p w:rsidR="000D77FD" w:rsidRPr="00BF0B5C" w:rsidRDefault="000D77FD" w:rsidP="00CC006D">
      <w:pPr>
        <w:pStyle w:val="NoSpacing"/>
        <w:spacing w:before="240"/>
        <w:rPr>
          <w:rFonts w:ascii="Arial Narrow" w:eastAsia="Arial Unicode MS" w:hAnsi="Arial Narrow"/>
          <w:b/>
        </w:rPr>
      </w:pPr>
    </w:p>
    <w:p w:rsidR="000D77FD" w:rsidRPr="00BF0B5C" w:rsidRDefault="000D77FD" w:rsidP="00CC006D">
      <w:pPr>
        <w:pStyle w:val="NoSpacing"/>
        <w:spacing w:before="240"/>
        <w:rPr>
          <w:rFonts w:ascii="Arial Narrow" w:eastAsia="Arial Unicode MS" w:hAnsi="Arial Narrow"/>
          <w:b/>
        </w:rPr>
      </w:pPr>
    </w:p>
    <w:p w:rsidR="000D77FD" w:rsidRPr="00BF0B5C" w:rsidRDefault="000D77FD" w:rsidP="00CC006D">
      <w:pPr>
        <w:pStyle w:val="NoSpacing"/>
        <w:spacing w:before="240"/>
        <w:rPr>
          <w:rFonts w:ascii="Arial Narrow" w:eastAsia="Arial Unicode MS" w:hAnsi="Arial Narrow"/>
          <w:b/>
        </w:rPr>
      </w:pPr>
    </w:p>
    <w:p w:rsidR="000D77FD" w:rsidRPr="00BF0B5C" w:rsidRDefault="000D77FD" w:rsidP="00CC006D">
      <w:pPr>
        <w:pStyle w:val="NoSpacing"/>
        <w:spacing w:before="240"/>
        <w:rPr>
          <w:rFonts w:ascii="Arial Narrow" w:eastAsia="Arial Unicode MS" w:hAnsi="Arial Narrow"/>
          <w:b/>
        </w:rPr>
      </w:pPr>
    </w:p>
    <w:p w:rsidR="000D77FD" w:rsidRPr="00BF0B5C" w:rsidRDefault="000D77FD" w:rsidP="00CC006D">
      <w:pPr>
        <w:pStyle w:val="NoSpacing"/>
        <w:spacing w:before="240"/>
        <w:rPr>
          <w:rFonts w:ascii="Arial Narrow" w:eastAsia="Arial Unicode MS" w:hAnsi="Arial Narrow"/>
          <w:b/>
          <w:noProof/>
        </w:rPr>
      </w:pPr>
    </w:p>
    <w:p w:rsidR="000D77FD" w:rsidRPr="00BF0B5C" w:rsidRDefault="000D77FD" w:rsidP="00CC006D">
      <w:pPr>
        <w:pStyle w:val="NoSpacing"/>
        <w:spacing w:before="240"/>
        <w:rPr>
          <w:rFonts w:ascii="Arial Narrow" w:eastAsia="Arial Unicode MS" w:hAnsi="Arial Narrow"/>
          <w:b/>
          <w:noProof/>
        </w:rPr>
      </w:pPr>
    </w:p>
    <w:p w:rsidR="004F29BC" w:rsidRPr="00BF0B5C" w:rsidRDefault="004F29BC" w:rsidP="00CC006D">
      <w:pPr>
        <w:pStyle w:val="NoSpacing"/>
        <w:spacing w:before="240"/>
        <w:rPr>
          <w:rFonts w:ascii="Arial Narrow" w:eastAsia="Arial Unicode MS" w:hAnsi="Arial Narrow"/>
          <w:b/>
        </w:rPr>
      </w:pPr>
    </w:p>
    <w:p w:rsidR="004F29BC" w:rsidRPr="00BF0B5C" w:rsidRDefault="004F29BC" w:rsidP="00CC006D">
      <w:pPr>
        <w:pStyle w:val="NoSpacing"/>
        <w:spacing w:before="240"/>
        <w:rPr>
          <w:rFonts w:ascii="Arial Narrow" w:eastAsia="Arial Unicode MS" w:hAnsi="Arial Narrow"/>
          <w:b/>
        </w:rPr>
      </w:pPr>
    </w:p>
    <w:p w:rsidR="004F29BC" w:rsidRPr="00BF0B5C" w:rsidRDefault="004F29BC" w:rsidP="00CC006D">
      <w:pPr>
        <w:pStyle w:val="NoSpacing"/>
        <w:spacing w:before="240"/>
        <w:rPr>
          <w:rFonts w:ascii="Arial Narrow" w:eastAsia="Arial Unicode MS" w:hAnsi="Arial Narrow"/>
          <w:b/>
        </w:rPr>
      </w:pPr>
    </w:p>
    <w:p w:rsidR="004F29BC" w:rsidRPr="00BF0B5C" w:rsidRDefault="004F29BC" w:rsidP="00CC006D">
      <w:pPr>
        <w:pStyle w:val="NoSpacing"/>
        <w:spacing w:before="240"/>
        <w:rPr>
          <w:rFonts w:ascii="Arial Narrow" w:eastAsia="Arial Unicode MS" w:hAnsi="Arial Narrow"/>
          <w:b/>
        </w:rPr>
      </w:pPr>
    </w:p>
    <w:p w:rsidR="00BF0B5C" w:rsidRDefault="00BF0B5C" w:rsidP="00CC006D">
      <w:pPr>
        <w:pStyle w:val="NoSpacing"/>
        <w:spacing w:before="240"/>
        <w:rPr>
          <w:rFonts w:ascii="Arial Narrow" w:eastAsia="Arial Unicode MS" w:hAnsi="Arial Narrow"/>
          <w:b/>
        </w:rPr>
      </w:pPr>
    </w:p>
    <w:p w:rsidR="00BF0B5C" w:rsidRDefault="00BF0B5C" w:rsidP="00CC006D">
      <w:pPr>
        <w:pStyle w:val="NoSpacing"/>
        <w:spacing w:before="240"/>
        <w:rPr>
          <w:rFonts w:ascii="Arial Narrow" w:eastAsia="Arial Unicode MS" w:hAnsi="Arial Narrow"/>
          <w:b/>
        </w:rPr>
      </w:pPr>
    </w:p>
    <w:p w:rsidR="00CC006D" w:rsidRPr="00BF0B5C" w:rsidRDefault="00D46239" w:rsidP="00CC006D">
      <w:pPr>
        <w:pStyle w:val="NoSpacing"/>
        <w:spacing w:before="240"/>
        <w:rPr>
          <w:rFonts w:ascii="Arial Narrow" w:eastAsia="Arial Unicode MS" w:hAnsi="Arial Narrow"/>
          <w:b/>
        </w:rPr>
      </w:pPr>
      <w:r w:rsidRPr="00BF0B5C">
        <w:rPr>
          <w:rFonts w:ascii="Arial Narrow" w:eastAsia="Arial Unicode MS" w:hAnsi="Arial Narrow"/>
          <w:b/>
        </w:rPr>
        <w:lastRenderedPageBreak/>
        <w:t>TABLE OF CONTENTS</w:t>
      </w:r>
      <w:r w:rsidR="00FD07BF" w:rsidRPr="00BF0B5C">
        <w:rPr>
          <w:rFonts w:ascii="Arial Narrow" w:eastAsia="Arial Unicode MS" w:hAnsi="Arial Narrow"/>
          <w:b/>
        </w:rPr>
        <w:tab/>
      </w:r>
    </w:p>
    <w:p w:rsidR="00D46239" w:rsidRPr="00BF0B5C" w:rsidRDefault="00FD07BF" w:rsidP="00CC006D">
      <w:pPr>
        <w:pStyle w:val="NoSpacing"/>
        <w:spacing w:before="240"/>
        <w:rPr>
          <w:rFonts w:ascii="Arial Narrow" w:eastAsia="Arial Unicode MS" w:hAnsi="Arial Narrow"/>
          <w:b/>
        </w:rPr>
      </w:pPr>
      <w:r w:rsidRPr="00BF0B5C">
        <w:rPr>
          <w:rFonts w:ascii="Arial Narrow" w:eastAsia="Arial Unicode MS" w:hAnsi="Arial Narrow"/>
          <w:b/>
        </w:rPr>
        <w:tab/>
      </w:r>
      <w:r w:rsidRPr="00BF0B5C">
        <w:rPr>
          <w:rFonts w:ascii="Arial Narrow" w:eastAsia="Arial Unicode MS" w:hAnsi="Arial Narrow"/>
          <w:b/>
        </w:rPr>
        <w:tab/>
      </w:r>
      <w:r w:rsidRPr="00BF0B5C">
        <w:rPr>
          <w:rFonts w:ascii="Arial Narrow" w:eastAsia="Arial Unicode MS" w:hAnsi="Arial Narrow"/>
          <w:b/>
        </w:rPr>
        <w:tab/>
      </w:r>
    </w:p>
    <w:p w:rsidR="007A2303" w:rsidRPr="00BF0B5C" w:rsidRDefault="007A2303" w:rsidP="00FE3795">
      <w:pPr>
        <w:pStyle w:val="ListParagraph"/>
        <w:numPr>
          <w:ilvl w:val="0"/>
          <w:numId w:val="5"/>
        </w:numPr>
        <w:autoSpaceDE w:val="0"/>
        <w:autoSpaceDN w:val="0"/>
        <w:adjustRightInd w:val="0"/>
        <w:spacing w:before="240" w:after="0" w:line="240" w:lineRule="auto"/>
        <w:ind w:left="360"/>
        <w:rPr>
          <w:rFonts w:ascii="Arial Narrow" w:hAnsi="Arial Narrow" w:cs="Calibri"/>
        </w:rPr>
      </w:pPr>
      <w:r w:rsidRPr="00BF0B5C">
        <w:rPr>
          <w:rFonts w:ascii="Arial Narrow" w:hAnsi="Arial Narrow" w:cs="Calibri"/>
        </w:rPr>
        <w:t>LEGISLATI</w:t>
      </w:r>
      <w:r w:rsidR="00396DED" w:rsidRPr="00BF0B5C">
        <w:rPr>
          <w:rFonts w:ascii="Arial Narrow" w:hAnsi="Arial Narrow" w:cs="Calibri"/>
        </w:rPr>
        <w:t>VE</w:t>
      </w:r>
      <w:r w:rsidRPr="00BF0B5C">
        <w:rPr>
          <w:rFonts w:ascii="Arial Narrow" w:hAnsi="Arial Narrow" w:cs="Calibri"/>
        </w:rPr>
        <w:t xml:space="preserve"> REQUIREMENTS.</w:t>
      </w:r>
      <w:r w:rsidR="006871E3" w:rsidRPr="00BF0B5C">
        <w:rPr>
          <w:rFonts w:ascii="Arial Narrow" w:hAnsi="Arial Narrow" w:cs="Calibri"/>
        </w:rPr>
        <w:t>………………………………………………………………………………</w:t>
      </w:r>
      <w:r w:rsidR="003243AD" w:rsidRPr="00BF0B5C">
        <w:rPr>
          <w:rFonts w:ascii="Arial Narrow" w:hAnsi="Arial Narrow" w:cs="Calibri"/>
        </w:rPr>
        <w:t xml:space="preserve"> </w:t>
      </w:r>
      <w:r w:rsidR="006871E3" w:rsidRPr="00BF0B5C">
        <w:rPr>
          <w:rFonts w:ascii="Arial Narrow" w:hAnsi="Arial Narrow" w:cs="Calibri"/>
        </w:rPr>
        <w:t>…3</w:t>
      </w:r>
    </w:p>
    <w:p w:rsidR="007A2303" w:rsidRPr="00BF0B5C" w:rsidRDefault="007A2303" w:rsidP="00CC006D">
      <w:pPr>
        <w:pStyle w:val="ListParagraph"/>
        <w:autoSpaceDE w:val="0"/>
        <w:autoSpaceDN w:val="0"/>
        <w:adjustRightInd w:val="0"/>
        <w:spacing w:before="240" w:after="0" w:line="240" w:lineRule="auto"/>
        <w:ind w:left="360"/>
        <w:rPr>
          <w:rFonts w:ascii="Arial Narrow" w:hAnsi="Arial Narrow" w:cs="Calibri"/>
        </w:rPr>
      </w:pPr>
    </w:p>
    <w:p w:rsidR="0054158B" w:rsidRPr="00BF0B5C" w:rsidRDefault="0054158B" w:rsidP="00FE3795">
      <w:pPr>
        <w:pStyle w:val="ListParagraph"/>
        <w:numPr>
          <w:ilvl w:val="0"/>
          <w:numId w:val="5"/>
        </w:numPr>
        <w:autoSpaceDE w:val="0"/>
        <w:autoSpaceDN w:val="0"/>
        <w:adjustRightInd w:val="0"/>
        <w:spacing w:before="240" w:after="0" w:line="240" w:lineRule="auto"/>
        <w:ind w:left="360"/>
        <w:rPr>
          <w:rFonts w:ascii="Arial Narrow" w:hAnsi="Arial Narrow" w:cs="Calibri"/>
        </w:rPr>
      </w:pPr>
      <w:r w:rsidRPr="00BF0B5C">
        <w:rPr>
          <w:rFonts w:ascii="Arial Narrow" w:hAnsi="Arial Narrow" w:cs="Calibri"/>
        </w:rPr>
        <w:t>EXECUTIVE SUMMARY</w:t>
      </w:r>
      <w:r w:rsidR="006871E3" w:rsidRPr="00BF0B5C">
        <w:rPr>
          <w:rFonts w:ascii="Arial Narrow" w:hAnsi="Arial Narrow" w:cs="Calibri"/>
        </w:rPr>
        <w:t>.…………………………………………………………………………</w:t>
      </w:r>
      <w:r w:rsidR="00BF0B5C">
        <w:rPr>
          <w:rFonts w:ascii="Arial Narrow" w:hAnsi="Arial Narrow" w:cs="Calibri"/>
        </w:rPr>
        <w:t xml:space="preserve">………………  </w:t>
      </w:r>
      <w:r w:rsidR="00BF0B5C">
        <w:rPr>
          <w:rFonts w:ascii="Arial Narrow" w:hAnsi="Arial Narrow" w:cs="Calibri"/>
        </w:rPr>
        <w:tab/>
      </w:r>
      <w:r w:rsidR="003243AD" w:rsidRPr="00BF0B5C">
        <w:rPr>
          <w:rFonts w:ascii="Arial Narrow" w:hAnsi="Arial Narrow" w:cs="Calibri"/>
        </w:rPr>
        <w:t xml:space="preserve"> </w:t>
      </w:r>
      <w:r w:rsidR="006871E3" w:rsidRPr="00BF0B5C">
        <w:rPr>
          <w:rFonts w:ascii="Arial Narrow" w:hAnsi="Arial Narrow" w:cs="Calibri"/>
        </w:rPr>
        <w:t>3</w:t>
      </w:r>
    </w:p>
    <w:p w:rsidR="0054158B" w:rsidRPr="00BF0B5C" w:rsidRDefault="0054158B" w:rsidP="00CC006D">
      <w:pPr>
        <w:pStyle w:val="ListParagraph"/>
        <w:autoSpaceDE w:val="0"/>
        <w:autoSpaceDN w:val="0"/>
        <w:adjustRightInd w:val="0"/>
        <w:spacing w:before="240" w:after="0" w:line="240" w:lineRule="auto"/>
        <w:ind w:left="360"/>
        <w:rPr>
          <w:rFonts w:ascii="Arial Narrow" w:hAnsi="Arial Narrow" w:cs="Calibri"/>
        </w:rPr>
      </w:pPr>
    </w:p>
    <w:p w:rsidR="007A2303" w:rsidRPr="00BF0B5C" w:rsidRDefault="007A2303" w:rsidP="00FE3795">
      <w:pPr>
        <w:pStyle w:val="ListParagraph"/>
        <w:numPr>
          <w:ilvl w:val="0"/>
          <w:numId w:val="5"/>
        </w:numPr>
        <w:autoSpaceDE w:val="0"/>
        <w:autoSpaceDN w:val="0"/>
        <w:adjustRightInd w:val="0"/>
        <w:spacing w:before="240" w:after="0" w:line="240" w:lineRule="auto"/>
        <w:ind w:left="426" w:hanging="426"/>
        <w:rPr>
          <w:rFonts w:ascii="Arial Narrow" w:hAnsi="Arial Narrow" w:cs="Calibri"/>
        </w:rPr>
      </w:pPr>
      <w:r w:rsidRPr="00BF0B5C">
        <w:rPr>
          <w:rFonts w:ascii="Arial Narrow" w:hAnsi="Arial Narrow" w:cs="Calibri"/>
        </w:rPr>
        <w:t xml:space="preserve">BUDGET PERFORMANCE </w:t>
      </w:r>
      <w:r w:rsidR="003243AD" w:rsidRPr="00BF0B5C">
        <w:rPr>
          <w:rFonts w:ascii="Arial Narrow" w:hAnsi="Arial Narrow" w:cs="Calibri"/>
        </w:rPr>
        <w:t xml:space="preserve"> </w:t>
      </w:r>
      <w:r w:rsidRPr="00BF0B5C">
        <w:rPr>
          <w:rFonts w:ascii="Arial Narrow" w:hAnsi="Arial Narrow" w:cs="Calibri"/>
        </w:rPr>
        <w:t>ANALYSIS……………………………</w:t>
      </w:r>
      <w:r w:rsidR="0054158B" w:rsidRPr="00BF0B5C">
        <w:rPr>
          <w:rFonts w:ascii="Arial Narrow" w:hAnsi="Arial Narrow" w:cs="Calibri"/>
        </w:rPr>
        <w:t>..</w:t>
      </w:r>
      <w:r w:rsidR="006871E3" w:rsidRPr="00BF0B5C">
        <w:rPr>
          <w:rFonts w:ascii="Arial Narrow" w:hAnsi="Arial Narrow" w:cs="Calibri"/>
        </w:rPr>
        <w:t>………………………</w:t>
      </w:r>
      <w:r w:rsidR="00BF0B5C">
        <w:rPr>
          <w:rFonts w:ascii="Arial Narrow" w:hAnsi="Arial Narrow" w:cs="Calibri"/>
        </w:rPr>
        <w:t>…………………..</w:t>
      </w:r>
      <w:r w:rsidR="00936197">
        <w:rPr>
          <w:rFonts w:ascii="Arial Narrow" w:hAnsi="Arial Narrow" w:cs="Calibri"/>
        </w:rPr>
        <w:t>4</w:t>
      </w:r>
    </w:p>
    <w:p w:rsidR="007A2303" w:rsidRPr="00BF0B5C" w:rsidRDefault="0054158B" w:rsidP="00CC006D">
      <w:pPr>
        <w:autoSpaceDE w:val="0"/>
        <w:autoSpaceDN w:val="0"/>
        <w:adjustRightInd w:val="0"/>
        <w:spacing w:before="240" w:after="0" w:line="240" w:lineRule="auto"/>
        <w:ind w:firstLine="720"/>
        <w:rPr>
          <w:rFonts w:ascii="Arial Narrow" w:hAnsi="Arial Narrow" w:cs="Calibri"/>
        </w:rPr>
      </w:pPr>
      <w:r w:rsidRPr="00BF0B5C">
        <w:rPr>
          <w:rFonts w:ascii="Arial Narrow" w:hAnsi="Arial Narrow" w:cs="Calibri"/>
        </w:rPr>
        <w:t>3</w:t>
      </w:r>
      <w:r w:rsidR="007A2303" w:rsidRPr="00BF0B5C">
        <w:rPr>
          <w:rFonts w:ascii="Arial Narrow" w:hAnsi="Arial Narrow" w:cs="Calibri"/>
        </w:rPr>
        <w:t>.1. Operational Expenditure and Income Performance</w:t>
      </w:r>
      <w:r w:rsidR="00BF0B5C">
        <w:rPr>
          <w:rFonts w:ascii="Arial Narrow" w:hAnsi="Arial Narrow" w:cs="Calibri"/>
        </w:rPr>
        <w:t>…………………..</w:t>
      </w:r>
      <w:r w:rsidR="003243AD" w:rsidRPr="00BF0B5C">
        <w:rPr>
          <w:rFonts w:ascii="Arial Narrow" w:hAnsi="Arial Narrow" w:cs="Calibri"/>
        </w:rPr>
        <w:tab/>
      </w:r>
      <w:r w:rsidR="007A2303" w:rsidRPr="00BF0B5C">
        <w:rPr>
          <w:rFonts w:ascii="Arial Narrow" w:hAnsi="Arial Narrow" w:cs="Calibri"/>
        </w:rPr>
        <w:t>…….…………</w:t>
      </w:r>
      <w:r w:rsidRPr="00BF0B5C">
        <w:rPr>
          <w:rFonts w:ascii="Arial Narrow" w:hAnsi="Arial Narrow" w:cs="Calibri"/>
        </w:rPr>
        <w:t>.</w:t>
      </w:r>
      <w:r w:rsidR="006871E3" w:rsidRPr="00BF0B5C">
        <w:rPr>
          <w:rFonts w:ascii="Arial Narrow" w:hAnsi="Arial Narrow" w:cs="Calibri"/>
        </w:rPr>
        <w:t>……………..</w:t>
      </w:r>
      <w:r w:rsidR="003243AD" w:rsidRPr="00BF0B5C">
        <w:rPr>
          <w:rFonts w:ascii="Arial Narrow" w:hAnsi="Arial Narrow" w:cs="Calibri"/>
        </w:rPr>
        <w:t xml:space="preserve"> </w:t>
      </w:r>
      <w:r w:rsidR="006871E3" w:rsidRPr="00BF0B5C">
        <w:rPr>
          <w:rFonts w:ascii="Arial Narrow" w:hAnsi="Arial Narrow" w:cs="Calibri"/>
        </w:rPr>
        <w:t>5</w:t>
      </w:r>
    </w:p>
    <w:p w:rsidR="007A2303" w:rsidRPr="00BF0B5C" w:rsidRDefault="0054158B" w:rsidP="00CC006D">
      <w:pPr>
        <w:autoSpaceDE w:val="0"/>
        <w:autoSpaceDN w:val="0"/>
        <w:adjustRightInd w:val="0"/>
        <w:spacing w:before="240" w:after="0" w:line="240" w:lineRule="auto"/>
        <w:ind w:firstLine="720"/>
        <w:rPr>
          <w:rFonts w:ascii="Arial Narrow" w:hAnsi="Arial Narrow" w:cs="Calibri"/>
        </w:rPr>
      </w:pPr>
      <w:r w:rsidRPr="00BF0B5C">
        <w:rPr>
          <w:rFonts w:ascii="Arial Narrow" w:hAnsi="Arial Narrow" w:cs="Calibri"/>
        </w:rPr>
        <w:t>3</w:t>
      </w:r>
      <w:r w:rsidR="007A2303" w:rsidRPr="00BF0B5C">
        <w:rPr>
          <w:rFonts w:ascii="Arial Narrow" w:hAnsi="Arial Narrow" w:cs="Calibri"/>
        </w:rPr>
        <w:t>.2. Capital Budget</w:t>
      </w:r>
      <w:r w:rsidR="006871E3" w:rsidRPr="00BF0B5C">
        <w:rPr>
          <w:rFonts w:ascii="Arial Narrow" w:hAnsi="Arial Narrow" w:cs="Calibri"/>
        </w:rPr>
        <w:t>…………………………………………………………………………</w:t>
      </w:r>
      <w:r w:rsidR="003243AD" w:rsidRPr="00BF0B5C">
        <w:rPr>
          <w:rFonts w:ascii="Arial Narrow" w:hAnsi="Arial Narrow" w:cs="Calibri"/>
        </w:rPr>
        <w:t>…</w:t>
      </w:r>
      <w:r w:rsidR="00BF0B5C">
        <w:rPr>
          <w:rFonts w:ascii="Arial Narrow" w:hAnsi="Arial Narrow" w:cs="Calibri"/>
        </w:rPr>
        <w:t>………………..</w:t>
      </w:r>
      <w:r w:rsidR="00936197">
        <w:rPr>
          <w:rFonts w:ascii="Arial Narrow" w:hAnsi="Arial Narrow" w:cs="Calibri"/>
        </w:rPr>
        <w:t xml:space="preserve"> 7</w:t>
      </w:r>
    </w:p>
    <w:p w:rsidR="007A2303" w:rsidRPr="00BF0B5C" w:rsidRDefault="003114F7" w:rsidP="00CC006D">
      <w:pPr>
        <w:autoSpaceDE w:val="0"/>
        <w:autoSpaceDN w:val="0"/>
        <w:adjustRightInd w:val="0"/>
        <w:spacing w:before="240" w:after="0" w:line="240" w:lineRule="auto"/>
        <w:rPr>
          <w:rFonts w:ascii="Arial Narrow" w:hAnsi="Arial Narrow" w:cs="Calibri"/>
        </w:rPr>
      </w:pPr>
      <w:r w:rsidRPr="00BF0B5C">
        <w:rPr>
          <w:rFonts w:ascii="Arial Narrow" w:hAnsi="Arial Narrow" w:cs="Calibri"/>
        </w:rPr>
        <w:t>4</w:t>
      </w:r>
      <w:r w:rsidR="007A2303" w:rsidRPr="00BF0B5C">
        <w:rPr>
          <w:rFonts w:ascii="Arial Narrow" w:hAnsi="Arial Narrow" w:cs="Calibri"/>
        </w:rPr>
        <w:t>. FINANCIAL PERFORMANCE ANALYS</w:t>
      </w:r>
      <w:r w:rsidR="006871E3" w:rsidRPr="00BF0B5C">
        <w:rPr>
          <w:rFonts w:ascii="Arial Narrow" w:hAnsi="Arial Narrow" w:cs="Calibri"/>
        </w:rPr>
        <w:t>IS</w:t>
      </w:r>
      <w:r w:rsidR="003243AD" w:rsidRPr="00BF0B5C">
        <w:rPr>
          <w:rFonts w:ascii="Arial Narrow" w:hAnsi="Arial Narrow" w:cs="Calibri"/>
        </w:rPr>
        <w:t>...</w:t>
      </w:r>
      <w:r w:rsidR="006871E3" w:rsidRPr="00BF0B5C">
        <w:rPr>
          <w:rFonts w:ascii="Arial Narrow" w:hAnsi="Arial Narrow" w:cs="Calibri"/>
        </w:rPr>
        <w:t>……………………………………………………</w:t>
      </w:r>
      <w:r w:rsidR="00BF0B5C">
        <w:rPr>
          <w:rFonts w:ascii="Arial Narrow" w:hAnsi="Arial Narrow" w:cs="Calibri"/>
        </w:rPr>
        <w:t>………………..</w:t>
      </w:r>
      <w:r w:rsidR="003243AD" w:rsidRPr="00BF0B5C">
        <w:rPr>
          <w:rFonts w:ascii="Arial Narrow" w:hAnsi="Arial Narrow" w:cs="Calibri"/>
        </w:rPr>
        <w:t xml:space="preserve"> </w:t>
      </w:r>
      <w:r w:rsidR="00936197">
        <w:rPr>
          <w:rFonts w:ascii="Arial Narrow" w:hAnsi="Arial Narrow" w:cs="Calibri"/>
        </w:rPr>
        <w:t xml:space="preserve"> </w:t>
      </w:r>
      <w:r w:rsidR="003243AD" w:rsidRPr="00BF0B5C">
        <w:rPr>
          <w:rFonts w:ascii="Arial Narrow" w:hAnsi="Arial Narrow" w:cs="Calibri"/>
        </w:rPr>
        <w:t xml:space="preserve">  </w:t>
      </w:r>
      <w:r w:rsidR="00936197">
        <w:rPr>
          <w:rFonts w:ascii="Arial Narrow" w:hAnsi="Arial Narrow" w:cs="Calibri"/>
        </w:rPr>
        <w:t>8</w:t>
      </w:r>
    </w:p>
    <w:p w:rsidR="007A2303" w:rsidRPr="00BF0B5C" w:rsidRDefault="003114F7" w:rsidP="00CC006D">
      <w:pPr>
        <w:autoSpaceDE w:val="0"/>
        <w:autoSpaceDN w:val="0"/>
        <w:adjustRightInd w:val="0"/>
        <w:spacing w:before="240" w:after="0" w:line="240" w:lineRule="auto"/>
        <w:ind w:firstLine="720"/>
        <w:rPr>
          <w:rFonts w:ascii="Arial Narrow" w:hAnsi="Arial Narrow" w:cs="Calibri"/>
        </w:rPr>
      </w:pPr>
      <w:r w:rsidRPr="00BF0B5C">
        <w:rPr>
          <w:rFonts w:ascii="Arial Narrow" w:hAnsi="Arial Narrow" w:cs="Calibri"/>
        </w:rPr>
        <w:t>4</w:t>
      </w:r>
      <w:r w:rsidR="007A2303" w:rsidRPr="00BF0B5C">
        <w:rPr>
          <w:rFonts w:ascii="Arial Narrow" w:hAnsi="Arial Narrow" w:cs="Calibri"/>
        </w:rPr>
        <w:t xml:space="preserve">.1. Cash </w:t>
      </w:r>
      <w:r w:rsidR="003243AD" w:rsidRPr="00BF0B5C">
        <w:rPr>
          <w:rFonts w:ascii="Arial Narrow" w:hAnsi="Arial Narrow" w:cs="Calibri"/>
        </w:rPr>
        <w:t>Management …</w:t>
      </w:r>
      <w:r w:rsidR="006871E3" w:rsidRPr="00BF0B5C">
        <w:rPr>
          <w:rFonts w:ascii="Arial Narrow" w:hAnsi="Arial Narrow" w:cs="Calibri"/>
        </w:rPr>
        <w:t>……………………………………………………………….</w:t>
      </w:r>
      <w:r w:rsidR="003243AD" w:rsidRPr="00BF0B5C">
        <w:rPr>
          <w:rFonts w:ascii="Arial Narrow" w:hAnsi="Arial Narrow" w:cs="Calibri"/>
        </w:rPr>
        <w:t>.</w:t>
      </w:r>
      <w:r w:rsidR="006871E3" w:rsidRPr="00BF0B5C">
        <w:rPr>
          <w:rFonts w:ascii="Arial Narrow" w:hAnsi="Arial Narrow" w:cs="Calibri"/>
        </w:rPr>
        <w:t>.</w:t>
      </w:r>
      <w:r w:rsidR="00BF0B5C">
        <w:rPr>
          <w:rFonts w:ascii="Arial Narrow" w:hAnsi="Arial Narrow" w:cs="Calibri"/>
        </w:rPr>
        <w:t>.......................</w:t>
      </w:r>
      <w:r w:rsidR="003243AD" w:rsidRPr="00BF0B5C">
        <w:rPr>
          <w:rFonts w:ascii="Arial Narrow" w:hAnsi="Arial Narrow" w:cs="Calibri"/>
        </w:rPr>
        <w:t xml:space="preserve">   </w:t>
      </w:r>
      <w:r w:rsidR="006871E3" w:rsidRPr="00BF0B5C">
        <w:rPr>
          <w:rFonts w:ascii="Arial Narrow" w:hAnsi="Arial Narrow" w:cs="Calibri"/>
        </w:rPr>
        <w:t>10</w:t>
      </w:r>
    </w:p>
    <w:p w:rsidR="007A2303" w:rsidRPr="00BF0B5C" w:rsidRDefault="003114F7" w:rsidP="00CC006D">
      <w:pPr>
        <w:autoSpaceDE w:val="0"/>
        <w:autoSpaceDN w:val="0"/>
        <w:adjustRightInd w:val="0"/>
        <w:spacing w:before="240" w:after="0" w:line="240" w:lineRule="auto"/>
        <w:ind w:firstLine="720"/>
        <w:rPr>
          <w:rFonts w:ascii="Arial Narrow" w:hAnsi="Arial Narrow" w:cs="Calibri"/>
        </w:rPr>
      </w:pPr>
      <w:r w:rsidRPr="00BF0B5C">
        <w:rPr>
          <w:rFonts w:ascii="Arial Narrow" w:hAnsi="Arial Narrow" w:cs="Calibri"/>
        </w:rPr>
        <w:t>4</w:t>
      </w:r>
      <w:r w:rsidR="007A2303" w:rsidRPr="00BF0B5C">
        <w:rPr>
          <w:rFonts w:ascii="Arial Narrow" w:hAnsi="Arial Narrow" w:cs="Calibri"/>
        </w:rPr>
        <w:t>.2. Outstanding Debtors…</w:t>
      </w:r>
      <w:r w:rsidR="006871E3" w:rsidRPr="00BF0B5C">
        <w:rPr>
          <w:rFonts w:ascii="Arial Narrow" w:hAnsi="Arial Narrow" w:cs="Calibri"/>
        </w:rPr>
        <w:t>………………………………………………………………</w:t>
      </w:r>
      <w:r w:rsidR="00BF0B5C">
        <w:rPr>
          <w:rFonts w:ascii="Arial Narrow" w:hAnsi="Arial Narrow" w:cs="Calibri"/>
        </w:rPr>
        <w:t>…………………</w:t>
      </w:r>
      <w:r w:rsidR="003243AD" w:rsidRPr="00BF0B5C">
        <w:rPr>
          <w:rFonts w:ascii="Arial Narrow" w:hAnsi="Arial Narrow" w:cs="Calibri"/>
        </w:rPr>
        <w:t xml:space="preserve">   </w:t>
      </w:r>
      <w:r w:rsidR="006871E3" w:rsidRPr="00BF0B5C">
        <w:rPr>
          <w:rFonts w:ascii="Arial Narrow" w:hAnsi="Arial Narrow" w:cs="Calibri"/>
        </w:rPr>
        <w:t>10</w:t>
      </w:r>
    </w:p>
    <w:p w:rsidR="007A2303" w:rsidRPr="00BF0B5C" w:rsidRDefault="003114F7" w:rsidP="00CC006D">
      <w:pPr>
        <w:autoSpaceDE w:val="0"/>
        <w:autoSpaceDN w:val="0"/>
        <w:adjustRightInd w:val="0"/>
        <w:spacing w:before="240" w:after="0" w:line="240" w:lineRule="auto"/>
        <w:ind w:firstLine="720"/>
        <w:rPr>
          <w:rFonts w:ascii="Arial Narrow" w:hAnsi="Arial Narrow" w:cs="Calibri"/>
        </w:rPr>
      </w:pPr>
      <w:r w:rsidRPr="00BF0B5C">
        <w:rPr>
          <w:rFonts w:ascii="Arial Narrow" w:hAnsi="Arial Narrow" w:cs="Calibri"/>
        </w:rPr>
        <w:t>4</w:t>
      </w:r>
      <w:r w:rsidR="007A2303" w:rsidRPr="00BF0B5C">
        <w:rPr>
          <w:rFonts w:ascii="Arial Narrow" w:hAnsi="Arial Narrow" w:cs="Calibri"/>
        </w:rPr>
        <w:t>.3. Payment of Creditors</w:t>
      </w:r>
      <w:r w:rsidR="003243AD" w:rsidRPr="00BF0B5C">
        <w:rPr>
          <w:rFonts w:ascii="Arial Narrow" w:hAnsi="Arial Narrow" w:cs="Calibri"/>
        </w:rPr>
        <w:t xml:space="preserve">    </w:t>
      </w:r>
      <w:r w:rsidR="006871E3" w:rsidRPr="00BF0B5C">
        <w:rPr>
          <w:rFonts w:ascii="Arial Narrow" w:hAnsi="Arial Narrow" w:cs="Calibri"/>
        </w:rPr>
        <w:t>…………………………………………………………………</w:t>
      </w:r>
      <w:r w:rsidR="00BF0B5C">
        <w:rPr>
          <w:rFonts w:ascii="Arial Narrow" w:hAnsi="Arial Narrow" w:cs="Calibri"/>
        </w:rPr>
        <w:t>………………..</w:t>
      </w:r>
      <w:r w:rsidR="006871E3" w:rsidRPr="00BF0B5C">
        <w:rPr>
          <w:rFonts w:ascii="Arial Narrow" w:hAnsi="Arial Narrow" w:cs="Calibri"/>
        </w:rPr>
        <w:t>11</w:t>
      </w:r>
    </w:p>
    <w:p w:rsidR="007A2303" w:rsidRPr="00BF0B5C" w:rsidRDefault="00A82F06" w:rsidP="00CC006D">
      <w:pPr>
        <w:spacing w:before="240" w:line="240" w:lineRule="auto"/>
        <w:rPr>
          <w:rFonts w:ascii="Arial Narrow" w:hAnsi="Arial Narrow" w:cs="Calibri"/>
        </w:rPr>
      </w:pPr>
      <w:r>
        <w:rPr>
          <w:rFonts w:ascii="Arial Narrow" w:hAnsi="Arial Narrow" w:cs="Calibri"/>
        </w:rPr>
        <w:t>5</w:t>
      </w:r>
      <w:r w:rsidR="007A2303" w:rsidRPr="00BF0B5C">
        <w:rPr>
          <w:rFonts w:ascii="Arial Narrow" w:hAnsi="Arial Narrow" w:cs="Calibri"/>
        </w:rPr>
        <w:t>. ANNEXURES</w:t>
      </w:r>
    </w:p>
    <w:p w:rsidR="00396DED" w:rsidRPr="00BF0B5C" w:rsidRDefault="007A2303" w:rsidP="00CC006D">
      <w:pPr>
        <w:spacing w:before="240" w:line="240" w:lineRule="auto"/>
        <w:rPr>
          <w:rFonts w:ascii="Arial Narrow" w:hAnsi="Arial Narrow" w:cs="Calibri"/>
        </w:rPr>
      </w:pPr>
      <w:r w:rsidRPr="00BF0B5C">
        <w:rPr>
          <w:rFonts w:ascii="Arial Narrow" w:hAnsi="Arial Narrow" w:cs="Calibri"/>
        </w:rPr>
        <w:t xml:space="preserve">    Annexure A – In-</w:t>
      </w:r>
      <w:r w:rsidR="00BF0B5C" w:rsidRPr="00BF0B5C">
        <w:rPr>
          <w:rFonts w:ascii="Arial Narrow" w:hAnsi="Arial Narrow" w:cs="Calibri"/>
        </w:rPr>
        <w:t>Year Reports at 31 December 2015</w:t>
      </w:r>
      <w:r w:rsidRPr="00BF0B5C">
        <w:rPr>
          <w:rFonts w:ascii="Arial Narrow" w:hAnsi="Arial Narrow" w:cs="Calibri"/>
        </w:rPr>
        <w:t>………………………………………</w:t>
      </w:r>
      <w:r w:rsidR="00BF0B5C">
        <w:rPr>
          <w:rFonts w:ascii="Arial Narrow" w:hAnsi="Arial Narrow" w:cs="Calibri"/>
        </w:rPr>
        <w:t>..</w:t>
      </w:r>
      <w:r w:rsidR="003243AD" w:rsidRPr="00BF0B5C">
        <w:rPr>
          <w:rFonts w:ascii="Arial Narrow" w:hAnsi="Arial Narrow" w:cs="Calibri"/>
        </w:rPr>
        <w:t xml:space="preserve"> ....</w:t>
      </w:r>
      <w:r w:rsidR="00BF0B5C">
        <w:rPr>
          <w:rFonts w:ascii="Arial Narrow" w:hAnsi="Arial Narrow" w:cs="Calibri"/>
        </w:rPr>
        <w:t>........................</w:t>
      </w:r>
      <w:r w:rsidR="00936197">
        <w:rPr>
          <w:rFonts w:ascii="Arial Narrow" w:hAnsi="Arial Narrow" w:cs="Calibri"/>
        </w:rPr>
        <w:t>18</w:t>
      </w:r>
    </w:p>
    <w:p w:rsidR="00396DED" w:rsidRPr="00BF0B5C" w:rsidRDefault="00396DED" w:rsidP="00FE3795">
      <w:pPr>
        <w:pStyle w:val="NoSpacing"/>
        <w:numPr>
          <w:ilvl w:val="0"/>
          <w:numId w:val="6"/>
        </w:numPr>
        <w:spacing w:before="240"/>
        <w:rPr>
          <w:rFonts w:ascii="Arial Narrow" w:eastAsia="Calibri" w:hAnsi="Arial Narrow" w:cs="Times New Roman"/>
          <w:lang w:eastAsia="en-US"/>
        </w:rPr>
      </w:pPr>
      <w:r w:rsidRPr="00BF0B5C">
        <w:rPr>
          <w:rFonts w:ascii="Arial Narrow" w:eastAsia="Calibri" w:hAnsi="Arial Narrow" w:cs="Times New Roman"/>
          <w:lang w:eastAsia="en-US"/>
        </w:rPr>
        <w:t>Tables C1-C7</w:t>
      </w:r>
    </w:p>
    <w:p w:rsidR="00396DED" w:rsidRPr="00BF0B5C" w:rsidRDefault="00396DED" w:rsidP="00FE3795">
      <w:pPr>
        <w:pStyle w:val="NoSpacing"/>
        <w:numPr>
          <w:ilvl w:val="0"/>
          <w:numId w:val="6"/>
        </w:numPr>
        <w:spacing w:before="240"/>
        <w:rPr>
          <w:rFonts w:ascii="Arial Narrow" w:eastAsia="Calibri" w:hAnsi="Arial Narrow" w:cs="Times New Roman"/>
          <w:lang w:eastAsia="en-US"/>
        </w:rPr>
      </w:pPr>
      <w:r w:rsidRPr="00BF0B5C">
        <w:rPr>
          <w:rFonts w:ascii="Arial Narrow" w:eastAsia="Calibri" w:hAnsi="Arial Narrow" w:cs="Times New Roman"/>
          <w:lang w:eastAsia="en-US"/>
        </w:rPr>
        <w:t>Supporting Tables SC1-SC8</w:t>
      </w:r>
    </w:p>
    <w:p w:rsidR="00B2326E" w:rsidRPr="00BF0B5C" w:rsidRDefault="007A2303" w:rsidP="00B2326E">
      <w:pPr>
        <w:spacing w:before="240" w:line="240" w:lineRule="auto"/>
        <w:rPr>
          <w:rFonts w:ascii="Arial Narrow" w:hAnsi="Arial Narrow" w:cs="Calibri"/>
        </w:rPr>
      </w:pPr>
      <w:r w:rsidRPr="00BF0B5C">
        <w:rPr>
          <w:rFonts w:ascii="Arial Narrow" w:hAnsi="Arial Narrow" w:cs="Calibri"/>
        </w:rPr>
        <w:t xml:space="preserve"> </w:t>
      </w:r>
    </w:p>
    <w:p w:rsidR="00B2326E" w:rsidRPr="00BF0B5C" w:rsidRDefault="00B2326E" w:rsidP="00B2326E">
      <w:pPr>
        <w:spacing w:before="240" w:line="240" w:lineRule="auto"/>
        <w:rPr>
          <w:rFonts w:ascii="Arial Narrow" w:hAnsi="Arial Narrow" w:cs="Calibri"/>
        </w:rPr>
      </w:pPr>
    </w:p>
    <w:p w:rsidR="00B2326E" w:rsidRPr="00BF0B5C" w:rsidRDefault="00B2326E" w:rsidP="00B2326E">
      <w:pPr>
        <w:spacing w:before="240" w:line="240" w:lineRule="auto"/>
        <w:rPr>
          <w:rFonts w:ascii="Arial Narrow" w:hAnsi="Arial Narrow" w:cs="Calibri"/>
        </w:rPr>
      </w:pPr>
    </w:p>
    <w:p w:rsidR="00B2326E" w:rsidRPr="00BF0B5C" w:rsidRDefault="00B2326E" w:rsidP="00B2326E">
      <w:pPr>
        <w:spacing w:before="240" w:line="240" w:lineRule="auto"/>
        <w:rPr>
          <w:rFonts w:ascii="Arial Narrow" w:hAnsi="Arial Narrow" w:cs="Calibri"/>
        </w:rPr>
      </w:pPr>
    </w:p>
    <w:p w:rsidR="00B2326E" w:rsidRPr="00BF0B5C" w:rsidRDefault="00B2326E" w:rsidP="00B2326E">
      <w:pPr>
        <w:spacing w:before="240" w:line="240" w:lineRule="auto"/>
        <w:rPr>
          <w:rFonts w:ascii="Arial Narrow" w:hAnsi="Arial Narrow" w:cs="Calibri"/>
        </w:rPr>
      </w:pPr>
    </w:p>
    <w:p w:rsidR="00BF0B5C" w:rsidRPr="00BF0B5C" w:rsidRDefault="00BF0B5C" w:rsidP="00B2326E">
      <w:pPr>
        <w:spacing w:before="240" w:line="240" w:lineRule="auto"/>
        <w:rPr>
          <w:rFonts w:ascii="Arial Narrow" w:hAnsi="Arial Narrow" w:cs="Calibri"/>
        </w:rPr>
      </w:pPr>
    </w:p>
    <w:p w:rsidR="00BF0B5C" w:rsidRPr="00BF0B5C" w:rsidRDefault="00BF0B5C" w:rsidP="00B2326E">
      <w:pPr>
        <w:spacing w:before="240" w:line="240" w:lineRule="auto"/>
        <w:rPr>
          <w:rFonts w:ascii="Arial Narrow" w:hAnsi="Arial Narrow" w:cs="Calibri"/>
        </w:rPr>
      </w:pPr>
    </w:p>
    <w:p w:rsidR="00B2326E" w:rsidRPr="00BF0B5C" w:rsidRDefault="00B2326E" w:rsidP="00B2326E">
      <w:pPr>
        <w:spacing w:before="240" w:line="240" w:lineRule="auto"/>
        <w:rPr>
          <w:rFonts w:ascii="Arial Narrow" w:hAnsi="Arial Narrow" w:cs="Calibri"/>
        </w:rPr>
      </w:pPr>
    </w:p>
    <w:p w:rsidR="00B2326E" w:rsidRPr="00BF0B5C" w:rsidRDefault="00B2326E" w:rsidP="00B2326E">
      <w:pPr>
        <w:spacing w:before="240" w:line="240" w:lineRule="auto"/>
        <w:rPr>
          <w:rFonts w:ascii="Arial Narrow" w:hAnsi="Arial Narrow" w:cs="Calibri"/>
        </w:rPr>
      </w:pPr>
    </w:p>
    <w:p w:rsidR="00B2326E" w:rsidRDefault="00B2326E" w:rsidP="00B2326E">
      <w:pPr>
        <w:spacing w:before="240" w:line="240" w:lineRule="auto"/>
        <w:rPr>
          <w:rFonts w:ascii="Arial Narrow" w:hAnsi="Arial Narrow" w:cs="Calibri"/>
        </w:rPr>
      </w:pPr>
    </w:p>
    <w:p w:rsidR="00BF0B5C" w:rsidRDefault="00BF0B5C" w:rsidP="00B2326E">
      <w:pPr>
        <w:spacing w:before="240" w:line="240" w:lineRule="auto"/>
        <w:rPr>
          <w:rFonts w:ascii="Arial Narrow" w:hAnsi="Arial Narrow" w:cs="Calibri"/>
        </w:rPr>
      </w:pPr>
    </w:p>
    <w:p w:rsidR="00BF0B5C" w:rsidRPr="00BF0B5C" w:rsidRDefault="00BF0B5C" w:rsidP="00B2326E">
      <w:pPr>
        <w:spacing w:before="240" w:line="240" w:lineRule="auto"/>
        <w:rPr>
          <w:rFonts w:ascii="Arial Narrow" w:hAnsi="Arial Narrow" w:cs="Calibri"/>
        </w:rPr>
      </w:pPr>
    </w:p>
    <w:p w:rsidR="00B2326E" w:rsidRPr="00BF0B5C" w:rsidRDefault="00B2326E" w:rsidP="00B2326E">
      <w:pPr>
        <w:spacing w:before="240" w:line="240" w:lineRule="auto"/>
        <w:rPr>
          <w:rFonts w:ascii="Arial Narrow" w:hAnsi="Arial Narrow" w:cs="Calibri"/>
        </w:rPr>
      </w:pPr>
    </w:p>
    <w:p w:rsidR="00D46239" w:rsidRPr="00BF0B5C" w:rsidRDefault="00396DED" w:rsidP="00FE3795">
      <w:pPr>
        <w:pStyle w:val="ListParagraph"/>
        <w:numPr>
          <w:ilvl w:val="0"/>
          <w:numId w:val="13"/>
        </w:numPr>
        <w:spacing w:before="240" w:line="240" w:lineRule="auto"/>
        <w:rPr>
          <w:rFonts w:ascii="Arial Narrow" w:eastAsia="Calibri" w:hAnsi="Arial Narrow" w:cstheme="minorHAnsi"/>
          <w:b/>
          <w:lang w:eastAsia="en-US"/>
        </w:rPr>
      </w:pPr>
      <w:r w:rsidRPr="00BF0B5C">
        <w:rPr>
          <w:rFonts w:ascii="Arial Narrow" w:eastAsia="Calibri" w:hAnsi="Arial Narrow" w:cstheme="minorHAnsi"/>
          <w:b/>
          <w:lang w:eastAsia="en-US"/>
        </w:rPr>
        <w:lastRenderedPageBreak/>
        <w:t>LEGISLATIVE REQUIREMENTS</w:t>
      </w:r>
    </w:p>
    <w:p w:rsidR="00396DED" w:rsidRPr="00BF0B5C" w:rsidRDefault="00396DED" w:rsidP="00AF2A98">
      <w:pPr>
        <w:pStyle w:val="NoSpacing"/>
        <w:spacing w:before="240" w:line="360" w:lineRule="auto"/>
        <w:rPr>
          <w:rFonts w:ascii="Arial Narrow" w:hAnsi="Arial Narrow" w:cstheme="minorHAnsi"/>
        </w:rPr>
      </w:pPr>
      <w:r w:rsidRPr="00BF0B5C">
        <w:rPr>
          <w:rFonts w:ascii="Arial Narrow" w:hAnsi="Arial Narrow" w:cstheme="minorHAnsi"/>
        </w:rPr>
        <w:t>Sec 72 (1) (a) of the Municipal Finance Management Act (MFMA) No.56 of 2003 states:</w:t>
      </w:r>
    </w:p>
    <w:p w:rsidR="00396DED" w:rsidRPr="00BF0B5C" w:rsidRDefault="00396DED" w:rsidP="00AF2A98">
      <w:pPr>
        <w:pStyle w:val="NoSpacing"/>
        <w:spacing w:before="240" w:line="360" w:lineRule="auto"/>
        <w:rPr>
          <w:rFonts w:ascii="Arial Narrow" w:hAnsi="Arial Narrow" w:cstheme="minorHAnsi"/>
        </w:rPr>
      </w:pPr>
      <w:r w:rsidRPr="00BF0B5C">
        <w:rPr>
          <w:rFonts w:ascii="Arial Narrow" w:hAnsi="Arial Narrow" w:cstheme="minorHAnsi"/>
        </w:rPr>
        <w:t xml:space="preserve">The accounting officer of the municipality must by 25 January of each year </w:t>
      </w:r>
    </w:p>
    <w:p w:rsidR="00396DED" w:rsidRPr="00BF0B5C" w:rsidRDefault="00396DED" w:rsidP="00FE3795">
      <w:pPr>
        <w:pStyle w:val="NoSpacing"/>
        <w:numPr>
          <w:ilvl w:val="0"/>
          <w:numId w:val="1"/>
        </w:numPr>
        <w:spacing w:before="240" w:line="360" w:lineRule="auto"/>
        <w:rPr>
          <w:rFonts w:ascii="Arial Narrow" w:hAnsi="Arial Narrow" w:cstheme="minorHAnsi"/>
        </w:rPr>
      </w:pPr>
      <w:r w:rsidRPr="00BF0B5C">
        <w:rPr>
          <w:rFonts w:ascii="Arial Narrow" w:hAnsi="Arial Narrow" w:cstheme="minorHAnsi"/>
        </w:rPr>
        <w:t>Assess the performance of the municipality during the first half of the financial year taking into account– the monthly statements referred to in section 71 for the first half of the year.</w:t>
      </w:r>
    </w:p>
    <w:p w:rsidR="00396DED" w:rsidRPr="00BF0B5C" w:rsidRDefault="00396DED" w:rsidP="00FE3795">
      <w:pPr>
        <w:pStyle w:val="NoSpacing"/>
        <w:numPr>
          <w:ilvl w:val="0"/>
          <w:numId w:val="1"/>
        </w:numPr>
        <w:spacing w:before="240" w:line="360" w:lineRule="auto"/>
        <w:rPr>
          <w:rFonts w:ascii="Arial Narrow" w:hAnsi="Arial Narrow" w:cstheme="minorHAnsi"/>
        </w:rPr>
      </w:pPr>
      <w:r w:rsidRPr="00BF0B5C">
        <w:rPr>
          <w:rFonts w:ascii="Arial Narrow" w:hAnsi="Arial Narrow" w:cstheme="minorHAnsi"/>
        </w:rPr>
        <w:t>Submit the</w:t>
      </w:r>
      <w:r w:rsidR="00564598">
        <w:rPr>
          <w:rFonts w:ascii="Arial Narrow" w:hAnsi="Arial Narrow" w:cstheme="minorHAnsi"/>
        </w:rPr>
        <w:t xml:space="preserve"> report on such assessments to </w:t>
      </w:r>
      <w:r w:rsidR="00C35AB1">
        <w:rPr>
          <w:rFonts w:ascii="Arial Narrow" w:hAnsi="Arial Narrow" w:cstheme="minorHAnsi"/>
        </w:rPr>
        <w:t>the Mayor of the municipality; National Treasury and relevant Provincial T</w:t>
      </w:r>
      <w:r w:rsidRPr="00BF0B5C">
        <w:rPr>
          <w:rFonts w:ascii="Arial Narrow" w:hAnsi="Arial Narrow" w:cstheme="minorHAnsi"/>
        </w:rPr>
        <w:t>reasury</w:t>
      </w:r>
    </w:p>
    <w:p w:rsidR="009E5FA8" w:rsidRPr="00BF0B5C" w:rsidRDefault="009E5FA8" w:rsidP="00FE3795">
      <w:pPr>
        <w:pStyle w:val="NoSpacing"/>
        <w:numPr>
          <w:ilvl w:val="0"/>
          <w:numId w:val="1"/>
        </w:numPr>
        <w:spacing w:before="240" w:line="360" w:lineRule="auto"/>
        <w:rPr>
          <w:rFonts w:ascii="Arial Narrow" w:hAnsi="Arial Narrow" w:cstheme="minorHAnsi"/>
        </w:rPr>
      </w:pPr>
      <w:r w:rsidRPr="00BF0B5C">
        <w:rPr>
          <w:rFonts w:ascii="Arial Narrow" w:hAnsi="Arial Narrow" w:cstheme="minorHAnsi"/>
        </w:rPr>
        <w:t>The accounting officer must, as part of the review, make recommendation</w:t>
      </w:r>
      <w:r w:rsidR="005B51D2">
        <w:rPr>
          <w:rFonts w:ascii="Arial Narrow" w:hAnsi="Arial Narrow" w:cstheme="minorHAnsi"/>
        </w:rPr>
        <w:t xml:space="preserve"> </w:t>
      </w:r>
      <w:bookmarkStart w:id="0" w:name="_GoBack"/>
      <w:bookmarkEnd w:id="0"/>
      <w:r w:rsidRPr="00BF0B5C">
        <w:rPr>
          <w:rFonts w:ascii="Arial Narrow" w:hAnsi="Arial Narrow" w:cstheme="minorHAnsi"/>
        </w:rPr>
        <w:t>as to whether an adjustment bud</w:t>
      </w:r>
      <w:r w:rsidR="00C35AB1">
        <w:rPr>
          <w:rFonts w:ascii="Arial Narrow" w:hAnsi="Arial Narrow" w:cstheme="minorHAnsi"/>
        </w:rPr>
        <w:t>get is necessary and recommend</w:t>
      </w:r>
      <w:r w:rsidRPr="00BF0B5C">
        <w:rPr>
          <w:rFonts w:ascii="Arial Narrow" w:hAnsi="Arial Narrow" w:cstheme="minorHAnsi"/>
        </w:rPr>
        <w:t xml:space="preserve"> revised projections for revenue and expenditure to the extent that this may be necessary</w:t>
      </w:r>
    </w:p>
    <w:p w:rsidR="009E5FA8" w:rsidRPr="00BF0B5C" w:rsidRDefault="009E5FA8" w:rsidP="00AF2A98">
      <w:pPr>
        <w:pStyle w:val="NoSpacing"/>
        <w:spacing w:before="240" w:line="360" w:lineRule="auto"/>
        <w:rPr>
          <w:rFonts w:ascii="Arial Narrow" w:hAnsi="Arial Narrow" w:cstheme="minorHAnsi"/>
        </w:rPr>
      </w:pPr>
      <w:r w:rsidRPr="00BF0B5C">
        <w:rPr>
          <w:rFonts w:ascii="Arial Narrow" w:hAnsi="Arial Narrow" w:cstheme="minorHAnsi"/>
        </w:rPr>
        <w:t>Section 54 (1) of the Municipal Finance Management Act requires the Mayor to consider and then submit the mid-year report to Council by 31 January each year.</w:t>
      </w:r>
    </w:p>
    <w:p w:rsidR="00AB3425" w:rsidRPr="00BF0B5C" w:rsidRDefault="00396DED" w:rsidP="00FE3795">
      <w:pPr>
        <w:pStyle w:val="NoSpacing"/>
        <w:numPr>
          <w:ilvl w:val="0"/>
          <w:numId w:val="7"/>
        </w:numPr>
        <w:spacing w:before="240" w:line="360" w:lineRule="auto"/>
        <w:rPr>
          <w:rFonts w:ascii="Arial Narrow" w:eastAsia="Calibri" w:hAnsi="Arial Narrow" w:cstheme="minorHAnsi"/>
          <w:lang w:eastAsia="en-US"/>
        </w:rPr>
      </w:pPr>
      <w:r w:rsidRPr="00BF0B5C">
        <w:rPr>
          <w:rFonts w:ascii="Arial Narrow" w:eastAsia="Calibri" w:hAnsi="Arial Narrow" w:cstheme="minorHAnsi"/>
          <w:b/>
          <w:lang w:eastAsia="en-US"/>
        </w:rPr>
        <w:t>EXECUTIVE SUMMARY</w:t>
      </w:r>
      <w:r w:rsidR="00AB3425" w:rsidRPr="00BF0B5C">
        <w:rPr>
          <w:rFonts w:ascii="Arial Narrow" w:eastAsia="Calibri" w:hAnsi="Arial Narrow" w:cstheme="minorHAnsi"/>
          <w:lang w:eastAsia="en-US"/>
        </w:rPr>
        <w:tab/>
      </w:r>
    </w:p>
    <w:p w:rsidR="009E5FA8" w:rsidRDefault="009E5FA8" w:rsidP="004E3001">
      <w:pPr>
        <w:pStyle w:val="NoSpacing"/>
        <w:rPr>
          <w:rFonts w:ascii="Arial Narrow" w:hAnsi="Arial Narrow"/>
        </w:rPr>
      </w:pPr>
      <w:r w:rsidRPr="004E3001">
        <w:rPr>
          <w:rFonts w:ascii="Arial Narrow" w:hAnsi="Arial Narrow"/>
        </w:rPr>
        <w:t xml:space="preserve">The </w:t>
      </w:r>
      <w:r w:rsidR="00155840" w:rsidRPr="004E3001">
        <w:rPr>
          <w:rFonts w:ascii="Arial Narrow" w:hAnsi="Arial Narrow"/>
        </w:rPr>
        <w:t xml:space="preserve">Municipal Manager as the </w:t>
      </w:r>
      <w:r w:rsidRPr="004E3001">
        <w:rPr>
          <w:rFonts w:ascii="Arial Narrow" w:hAnsi="Arial Narrow"/>
        </w:rPr>
        <w:t>accounting officer of the municipality</w:t>
      </w:r>
      <w:r w:rsidR="00155840" w:rsidRPr="004E3001">
        <w:rPr>
          <w:rFonts w:ascii="Arial Narrow" w:hAnsi="Arial Narrow"/>
        </w:rPr>
        <w:t xml:space="preserve"> is submitting this report as required by Section 72 of the MFMA.</w:t>
      </w:r>
    </w:p>
    <w:p w:rsidR="004E3001" w:rsidRPr="004E3001" w:rsidRDefault="004E3001" w:rsidP="004E3001">
      <w:pPr>
        <w:pStyle w:val="NoSpacing"/>
        <w:rPr>
          <w:rFonts w:ascii="Arial Narrow" w:hAnsi="Arial Narrow"/>
        </w:rPr>
      </w:pPr>
    </w:p>
    <w:p w:rsidR="009E5FA8" w:rsidRDefault="009E5FA8" w:rsidP="004E3001">
      <w:pPr>
        <w:pStyle w:val="NoSpacing"/>
        <w:rPr>
          <w:rFonts w:ascii="Arial Narrow" w:hAnsi="Arial Narrow"/>
        </w:rPr>
      </w:pPr>
      <w:r w:rsidRPr="004E3001">
        <w:rPr>
          <w:rFonts w:ascii="Arial Narrow" w:hAnsi="Arial Narrow"/>
        </w:rPr>
        <w:t xml:space="preserve">The mid-year report and supporting tables of </w:t>
      </w:r>
      <w:proofErr w:type="spellStart"/>
      <w:r w:rsidRPr="004E3001">
        <w:rPr>
          <w:rFonts w:ascii="Arial Narrow" w:hAnsi="Arial Narrow"/>
        </w:rPr>
        <w:t>Makana</w:t>
      </w:r>
      <w:proofErr w:type="spellEnd"/>
      <w:r w:rsidRPr="004E3001">
        <w:rPr>
          <w:rFonts w:ascii="Arial Narrow" w:hAnsi="Arial Narrow"/>
        </w:rPr>
        <w:t xml:space="preserve"> Municipality are prepared in accordance with the Municipal Budget and Reporting Regulations and MFMA Circular 13</w:t>
      </w:r>
    </w:p>
    <w:p w:rsidR="004E3001" w:rsidRPr="004E3001" w:rsidRDefault="004E3001" w:rsidP="004E3001">
      <w:pPr>
        <w:pStyle w:val="NoSpacing"/>
        <w:rPr>
          <w:rFonts w:ascii="Arial Narrow" w:hAnsi="Arial Narrow"/>
        </w:rPr>
      </w:pPr>
    </w:p>
    <w:p w:rsidR="00AB3425" w:rsidRDefault="00AB3425" w:rsidP="004E3001">
      <w:pPr>
        <w:pStyle w:val="NoSpacing"/>
        <w:rPr>
          <w:rFonts w:ascii="Arial Narrow" w:hAnsi="Arial Narrow"/>
        </w:rPr>
      </w:pPr>
      <w:r w:rsidRPr="004E3001">
        <w:rPr>
          <w:rFonts w:ascii="Arial Narrow" w:hAnsi="Arial Narrow"/>
        </w:rPr>
        <w:t>The mid-year report is a critical stage in the in-year reporting cycle of a municipality. In terms of Section 72 (3) of the Municipal Finance Management Act, the Accounting Officer needs to make recommendations as to whether the SDBIP and both cap</w:t>
      </w:r>
      <w:r w:rsidR="00A56938" w:rsidRPr="004E3001">
        <w:rPr>
          <w:rFonts w:ascii="Arial Narrow" w:hAnsi="Arial Narrow"/>
        </w:rPr>
        <w:t>ital and operating budget need to be adjusted.</w:t>
      </w:r>
    </w:p>
    <w:p w:rsidR="004E3001" w:rsidRPr="004E3001" w:rsidRDefault="004E3001" w:rsidP="004E3001">
      <w:pPr>
        <w:pStyle w:val="NoSpacing"/>
        <w:rPr>
          <w:rFonts w:ascii="Arial Narrow" w:hAnsi="Arial Narrow"/>
        </w:rPr>
      </w:pPr>
    </w:p>
    <w:p w:rsidR="00155840" w:rsidRDefault="00155840" w:rsidP="004E3001">
      <w:pPr>
        <w:pStyle w:val="NoSpacing"/>
        <w:rPr>
          <w:rFonts w:ascii="Arial Narrow" w:hAnsi="Arial Narrow"/>
        </w:rPr>
      </w:pPr>
      <w:r w:rsidRPr="004E3001">
        <w:rPr>
          <w:rFonts w:ascii="Arial Narrow" w:hAnsi="Arial Narrow"/>
        </w:rPr>
        <w:t>The municipality will have to revise the budget during February 2015 due to material changes in revenue and expenditure.</w:t>
      </w:r>
    </w:p>
    <w:p w:rsidR="004E3001" w:rsidRPr="004E3001" w:rsidRDefault="004E3001" w:rsidP="004E3001">
      <w:pPr>
        <w:pStyle w:val="NoSpacing"/>
        <w:rPr>
          <w:rFonts w:ascii="Arial Narrow" w:hAnsi="Arial Narrow"/>
        </w:rPr>
      </w:pPr>
    </w:p>
    <w:p w:rsidR="00AF2A98" w:rsidRPr="004E3001" w:rsidRDefault="00AF2A98" w:rsidP="004E3001">
      <w:pPr>
        <w:pStyle w:val="NoSpacing"/>
        <w:rPr>
          <w:rFonts w:ascii="Arial Narrow" w:hAnsi="Arial Narrow"/>
          <w:b/>
        </w:rPr>
      </w:pPr>
    </w:p>
    <w:p w:rsidR="00764560" w:rsidRPr="00796889" w:rsidRDefault="00796889" w:rsidP="00796889">
      <w:pPr>
        <w:rPr>
          <w:rFonts w:ascii="Arial" w:hAnsi="Arial" w:cs="Arial"/>
          <w:b/>
        </w:rPr>
      </w:pPr>
      <w:r w:rsidRPr="00796889">
        <w:rPr>
          <w:rFonts w:ascii="Arial" w:hAnsi="Arial" w:cs="Arial"/>
          <w:b/>
        </w:rPr>
        <w:t xml:space="preserve">2.1 </w:t>
      </w:r>
      <w:r w:rsidR="00F85E08" w:rsidRPr="00796889">
        <w:rPr>
          <w:rFonts w:ascii="Arial" w:hAnsi="Arial" w:cs="Arial"/>
          <w:b/>
        </w:rPr>
        <w:t>Highlights</w:t>
      </w:r>
    </w:p>
    <w:p w:rsidR="00764560" w:rsidRDefault="00764560" w:rsidP="00764560">
      <w:pPr>
        <w:rPr>
          <w:rFonts w:ascii="Arial Narrow" w:hAnsi="Arial Narrow"/>
        </w:rPr>
      </w:pPr>
      <w:r w:rsidRPr="00764560">
        <w:rPr>
          <w:rFonts w:ascii="Arial Narrow" w:hAnsi="Arial Narrow"/>
        </w:rPr>
        <w:t xml:space="preserve"> </w:t>
      </w:r>
      <w:proofErr w:type="spellStart"/>
      <w:r w:rsidRPr="00764560">
        <w:rPr>
          <w:rFonts w:ascii="Arial Narrow" w:hAnsi="Arial Narrow"/>
        </w:rPr>
        <w:t>Makana</w:t>
      </w:r>
      <w:proofErr w:type="spellEnd"/>
      <w:r w:rsidRPr="00764560">
        <w:rPr>
          <w:rFonts w:ascii="Arial Narrow" w:hAnsi="Arial Narrow"/>
        </w:rPr>
        <w:t xml:space="preserve"> Municipality</w:t>
      </w:r>
      <w:r w:rsidR="00564598">
        <w:rPr>
          <w:rFonts w:ascii="Arial Narrow" w:hAnsi="Arial Narrow"/>
        </w:rPr>
        <w:t xml:space="preserve"> has been</w:t>
      </w:r>
      <w:r w:rsidR="00462449">
        <w:rPr>
          <w:rFonts w:ascii="Arial Narrow" w:hAnsi="Arial Narrow"/>
        </w:rPr>
        <w:t xml:space="preserve"> faced</w:t>
      </w:r>
      <w:r w:rsidR="00462449" w:rsidRPr="00BF0B5C">
        <w:rPr>
          <w:rFonts w:ascii="Arial Narrow" w:hAnsi="Arial Narrow" w:cstheme="minorHAnsi"/>
        </w:rPr>
        <w:t xml:space="preserve"> with numerous financial problems which impact, amongst others, on its ability to meet its financial commitments and the provision of basic services</w:t>
      </w:r>
      <w:r w:rsidR="00462449">
        <w:rPr>
          <w:rFonts w:ascii="Arial Narrow" w:hAnsi="Arial Narrow"/>
        </w:rPr>
        <w:t xml:space="preserve"> until</w:t>
      </w:r>
      <w:r w:rsidR="00462449">
        <w:rPr>
          <w:rFonts w:ascii="Arial Narrow" w:hAnsi="Arial Narrow"/>
          <w:sz w:val="58"/>
          <w:szCs w:val="58"/>
        </w:rPr>
        <w:t xml:space="preserve"> </w:t>
      </w:r>
      <w:r w:rsidRPr="00764560">
        <w:rPr>
          <w:rFonts w:ascii="Arial Narrow" w:hAnsi="Arial Narrow"/>
        </w:rPr>
        <w:t>Easter</w:t>
      </w:r>
      <w:r w:rsidR="00462449">
        <w:rPr>
          <w:rFonts w:ascii="Arial Narrow" w:hAnsi="Arial Narrow"/>
        </w:rPr>
        <w:t>n Cape Prov</w:t>
      </w:r>
      <w:r w:rsidR="00C35AB1">
        <w:rPr>
          <w:rFonts w:ascii="Arial Narrow" w:hAnsi="Arial Narrow"/>
        </w:rPr>
        <w:t>incial Executive</w:t>
      </w:r>
      <w:r w:rsidR="00462449">
        <w:rPr>
          <w:rFonts w:ascii="Arial Narrow" w:hAnsi="Arial Narrow"/>
        </w:rPr>
        <w:t xml:space="preserve"> </w:t>
      </w:r>
      <w:r w:rsidRPr="00764560">
        <w:rPr>
          <w:rFonts w:ascii="Arial Narrow" w:hAnsi="Arial Narrow"/>
        </w:rPr>
        <w:t xml:space="preserve">instituted an intervention in terms of section 139(1) (b) of the Constitution in respect of the </w:t>
      </w:r>
      <w:proofErr w:type="spellStart"/>
      <w:r w:rsidRPr="00764560">
        <w:rPr>
          <w:rFonts w:ascii="Arial Narrow" w:hAnsi="Arial Narrow"/>
        </w:rPr>
        <w:t>Makana</w:t>
      </w:r>
      <w:proofErr w:type="spellEnd"/>
      <w:r w:rsidRPr="00764560">
        <w:rPr>
          <w:rFonts w:ascii="Arial Narrow" w:hAnsi="Arial Narrow"/>
        </w:rPr>
        <w:t xml:space="preserve"> Local Municipality. </w:t>
      </w:r>
    </w:p>
    <w:p w:rsidR="005F0D6F" w:rsidRDefault="00462449" w:rsidP="00764560">
      <w:pPr>
        <w:rPr>
          <w:rFonts w:ascii="Arial Narrow" w:hAnsi="Arial Narrow"/>
          <w:color w:val="444444"/>
          <w:shd w:val="clear" w:color="auto" w:fill="FFFFFF"/>
        </w:rPr>
      </w:pPr>
      <w:r>
        <w:rPr>
          <w:rFonts w:ascii="Arial Narrow" w:hAnsi="Arial Narrow"/>
        </w:rPr>
        <w:t>With the assistance of the Eastern Cape Province the municipality was</w:t>
      </w:r>
      <w:r w:rsidRPr="00462449">
        <w:rPr>
          <w:color w:val="444444"/>
          <w:sz w:val="21"/>
          <w:szCs w:val="21"/>
          <w:shd w:val="clear" w:color="auto" w:fill="FFFFFF"/>
        </w:rPr>
        <w:t xml:space="preserve"> </w:t>
      </w:r>
      <w:r w:rsidR="00DD2383">
        <w:rPr>
          <w:rFonts w:ascii="Arial Narrow" w:hAnsi="Arial Narrow"/>
          <w:color w:val="444444"/>
          <w:shd w:val="clear" w:color="auto" w:fill="FFFFFF"/>
        </w:rPr>
        <w:t>able to move</w:t>
      </w:r>
      <w:r w:rsidRPr="00462449">
        <w:rPr>
          <w:rFonts w:ascii="Arial Narrow" w:hAnsi="Arial Narrow"/>
          <w:color w:val="444444"/>
          <w:shd w:val="clear" w:color="auto" w:fill="FFFFFF"/>
        </w:rPr>
        <w:t xml:space="preserve"> in a positive direction.</w:t>
      </w:r>
    </w:p>
    <w:p w:rsidR="005F0D6F" w:rsidRDefault="005F0D6F" w:rsidP="005F0D6F">
      <w:pPr>
        <w:pStyle w:val="NoSpacing"/>
        <w:rPr>
          <w:rFonts w:ascii="Arial Narrow" w:eastAsiaTheme="minorHAnsi" w:hAnsi="Arial Narrow"/>
          <w:lang w:eastAsia="en-US"/>
        </w:rPr>
      </w:pPr>
      <w:r w:rsidRPr="005F0D6F">
        <w:rPr>
          <w:rFonts w:ascii="Arial Narrow" w:eastAsiaTheme="minorHAnsi" w:hAnsi="Arial Narrow"/>
          <w:lang w:eastAsia="en-US"/>
        </w:rPr>
        <w:t>During the intervention, a decision was taken that the municipality would prepare Annual Financial Statements internally. Some of</w:t>
      </w:r>
      <w:r w:rsidR="00DD2383">
        <w:rPr>
          <w:rFonts w:ascii="Arial Narrow" w:eastAsiaTheme="minorHAnsi" w:hAnsi="Arial Narrow"/>
          <w:lang w:eastAsia="en-US"/>
        </w:rPr>
        <w:t xml:space="preserve"> the finance staff attended </w:t>
      </w:r>
      <w:r w:rsidRPr="005F0D6F">
        <w:rPr>
          <w:rFonts w:ascii="Arial Narrow" w:eastAsiaTheme="minorHAnsi" w:hAnsi="Arial Narrow"/>
          <w:lang w:eastAsia="en-US"/>
        </w:rPr>
        <w:t xml:space="preserve">GRAP training to assist in producing GRAP compliant AFS. </w:t>
      </w:r>
    </w:p>
    <w:p w:rsidR="005F0D6F" w:rsidRDefault="005F0D6F" w:rsidP="005F0D6F">
      <w:pPr>
        <w:pStyle w:val="NoSpacing"/>
        <w:rPr>
          <w:rFonts w:ascii="Arial Narrow" w:eastAsiaTheme="minorHAnsi" w:hAnsi="Arial Narrow"/>
          <w:lang w:eastAsia="en-US"/>
        </w:rPr>
      </w:pPr>
    </w:p>
    <w:p w:rsidR="005F0D6F" w:rsidRDefault="005F0D6F" w:rsidP="005F0D6F">
      <w:pPr>
        <w:pStyle w:val="NoSpacing"/>
        <w:rPr>
          <w:rFonts w:ascii="Arial Narrow" w:eastAsiaTheme="minorHAnsi" w:hAnsi="Arial Narrow"/>
          <w:lang w:eastAsia="en-US"/>
        </w:rPr>
      </w:pPr>
      <w:r w:rsidRPr="005F0D6F">
        <w:rPr>
          <w:rFonts w:ascii="Arial Narrow" w:eastAsiaTheme="minorHAnsi" w:hAnsi="Arial Narrow"/>
          <w:lang w:eastAsia="en-US"/>
        </w:rPr>
        <w:t>Additionally, BTO management met with Auditor General (AG) to discuss the</w:t>
      </w:r>
      <w:r w:rsidR="00DD2383">
        <w:rPr>
          <w:rFonts w:ascii="Arial Narrow" w:eastAsiaTheme="minorHAnsi" w:hAnsi="Arial Narrow"/>
          <w:lang w:eastAsia="en-US"/>
        </w:rPr>
        <w:t xml:space="preserve"> approach and plan of the AFS. P</w:t>
      </w:r>
      <w:r w:rsidRPr="005F0D6F">
        <w:rPr>
          <w:rFonts w:ascii="Arial Narrow" w:eastAsiaTheme="minorHAnsi" w:hAnsi="Arial Narrow"/>
          <w:lang w:eastAsia="en-US"/>
        </w:rPr>
        <w:t xml:space="preserve">art of the agreement was the repayment of the outstanding debt. Both parties agreed to monthly repayments, which the municipality has successfully honoured. </w:t>
      </w:r>
    </w:p>
    <w:p w:rsidR="005F0D6F" w:rsidRDefault="005F0D6F" w:rsidP="005F0D6F">
      <w:pPr>
        <w:pStyle w:val="NoSpacing"/>
        <w:rPr>
          <w:rFonts w:ascii="Arial Narrow" w:eastAsiaTheme="minorHAnsi" w:hAnsi="Arial Narrow"/>
          <w:lang w:eastAsia="en-US"/>
        </w:rPr>
      </w:pPr>
    </w:p>
    <w:p w:rsidR="005F0D6F" w:rsidRPr="005F0D6F" w:rsidRDefault="005F0D6F" w:rsidP="005F0D6F">
      <w:pPr>
        <w:pStyle w:val="NoSpacing"/>
        <w:rPr>
          <w:rFonts w:ascii="Arial Narrow" w:eastAsiaTheme="minorHAnsi" w:hAnsi="Arial Narrow"/>
          <w:lang w:eastAsia="en-US"/>
        </w:rPr>
      </w:pPr>
      <w:r w:rsidRPr="005F0D6F">
        <w:rPr>
          <w:rFonts w:ascii="Arial Narrow" w:eastAsiaTheme="minorHAnsi" w:hAnsi="Arial Narrow"/>
          <w:lang w:eastAsia="en-US"/>
        </w:rPr>
        <w:t>T</w:t>
      </w:r>
      <w:r w:rsidRPr="005F0D6F">
        <w:rPr>
          <w:rFonts w:ascii="Arial Narrow" w:eastAsiaTheme="minorHAnsi" w:hAnsi="Arial Narrow"/>
          <w:lang w:val="en-US"/>
        </w:rPr>
        <w:t>he following were identified as priority activities for the preparation of 2014/15 AFS:</w:t>
      </w:r>
    </w:p>
    <w:p w:rsidR="005F0D6F" w:rsidRPr="005F0D6F" w:rsidRDefault="005F0D6F" w:rsidP="005F0D6F">
      <w:pPr>
        <w:pStyle w:val="NoSpacing"/>
        <w:numPr>
          <w:ilvl w:val="0"/>
          <w:numId w:val="17"/>
        </w:numPr>
        <w:rPr>
          <w:rFonts w:ascii="Arial Narrow" w:eastAsia="Times New Roman" w:hAnsi="Arial Narrow" w:cs="Arial"/>
          <w:color w:val="222222"/>
        </w:rPr>
      </w:pPr>
      <w:r w:rsidRPr="005F0D6F">
        <w:rPr>
          <w:rFonts w:ascii="Arial Narrow" w:eastAsia="Times New Roman" w:hAnsi="Arial Narrow" w:cs="Arial"/>
          <w:color w:val="222222"/>
        </w:rPr>
        <w:t>Prior-year restatement approach</w:t>
      </w:r>
    </w:p>
    <w:p w:rsidR="005F0D6F" w:rsidRPr="005F0D6F" w:rsidRDefault="005F0D6F" w:rsidP="005F0D6F">
      <w:pPr>
        <w:pStyle w:val="NoSpacing"/>
        <w:numPr>
          <w:ilvl w:val="0"/>
          <w:numId w:val="17"/>
        </w:numPr>
        <w:rPr>
          <w:rFonts w:ascii="Arial Narrow" w:eastAsia="Times New Roman" w:hAnsi="Arial Narrow" w:cs="Arial"/>
          <w:color w:val="222222"/>
        </w:rPr>
      </w:pPr>
      <w:r w:rsidRPr="005F0D6F">
        <w:rPr>
          <w:rFonts w:ascii="Arial Narrow" w:eastAsia="Times New Roman" w:hAnsi="Arial Narrow" w:cs="Arial"/>
          <w:color w:val="222222"/>
        </w:rPr>
        <w:t>Technical review of AFS, mapping and disclosures</w:t>
      </w:r>
    </w:p>
    <w:p w:rsidR="005F0D6F" w:rsidRPr="005F0D6F" w:rsidRDefault="005F0D6F" w:rsidP="005F0D6F">
      <w:pPr>
        <w:pStyle w:val="NoSpacing"/>
        <w:numPr>
          <w:ilvl w:val="0"/>
          <w:numId w:val="17"/>
        </w:numPr>
        <w:rPr>
          <w:rFonts w:ascii="Arial Narrow" w:eastAsia="Times New Roman" w:hAnsi="Arial Narrow" w:cs="Arial"/>
          <w:color w:val="222222"/>
        </w:rPr>
      </w:pPr>
      <w:r w:rsidRPr="005F0D6F">
        <w:rPr>
          <w:rFonts w:ascii="Arial Narrow" w:eastAsia="Times New Roman" w:hAnsi="Arial Narrow" w:cs="Arial"/>
          <w:color w:val="222222"/>
        </w:rPr>
        <w:t>Supporting Doc</w:t>
      </w:r>
      <w:r w:rsidR="00FA02A8">
        <w:rPr>
          <w:rFonts w:ascii="Arial Narrow" w:eastAsia="Times New Roman" w:hAnsi="Arial Narrow" w:cs="Arial"/>
          <w:color w:val="222222"/>
        </w:rPr>
        <w:t>uments</w:t>
      </w:r>
      <w:r w:rsidRPr="005F0D6F">
        <w:rPr>
          <w:rFonts w:ascii="Arial Narrow" w:eastAsia="Times New Roman" w:hAnsi="Arial Narrow" w:cs="Arial"/>
          <w:color w:val="222222"/>
        </w:rPr>
        <w:t xml:space="preserve"> / Work Plan (Work Plan and Working Paper Layout) </w:t>
      </w:r>
    </w:p>
    <w:p w:rsidR="005F0D6F" w:rsidRPr="005F0D6F" w:rsidRDefault="005F0D6F" w:rsidP="005F0D6F">
      <w:pPr>
        <w:pStyle w:val="NoSpacing"/>
        <w:numPr>
          <w:ilvl w:val="0"/>
          <w:numId w:val="17"/>
        </w:numPr>
        <w:rPr>
          <w:rFonts w:ascii="Arial Narrow" w:eastAsia="Times New Roman" w:hAnsi="Arial Narrow" w:cs="Arial"/>
          <w:color w:val="222222"/>
        </w:rPr>
      </w:pPr>
      <w:r w:rsidRPr="005F0D6F">
        <w:rPr>
          <w:rFonts w:ascii="Arial Narrow" w:eastAsia="Times New Roman" w:hAnsi="Arial Narrow" w:cs="Arial"/>
          <w:color w:val="222222"/>
        </w:rPr>
        <w:t>Reconciliations - Assessment and recommendations on how to improve them</w:t>
      </w:r>
    </w:p>
    <w:p w:rsidR="005F0D6F" w:rsidRPr="005F0D6F" w:rsidRDefault="005F0D6F" w:rsidP="005F0D6F">
      <w:pPr>
        <w:pStyle w:val="NoSpacing"/>
        <w:numPr>
          <w:ilvl w:val="0"/>
          <w:numId w:val="17"/>
        </w:numPr>
        <w:rPr>
          <w:rFonts w:ascii="Arial Narrow" w:eastAsia="Times New Roman" w:hAnsi="Arial Narrow" w:cs="Arial"/>
          <w:color w:val="222222"/>
        </w:rPr>
      </w:pPr>
      <w:r w:rsidRPr="005F0D6F">
        <w:rPr>
          <w:rFonts w:ascii="Arial Narrow" w:eastAsia="Times New Roman" w:hAnsi="Arial Narrow" w:cs="Arial"/>
          <w:color w:val="222222"/>
        </w:rPr>
        <w:t>Completeness of Debtors and Creditors</w:t>
      </w:r>
    </w:p>
    <w:p w:rsidR="005F0D6F" w:rsidRPr="005F0D6F" w:rsidRDefault="005F0D6F" w:rsidP="005F0D6F">
      <w:pPr>
        <w:pStyle w:val="NoSpacing"/>
        <w:numPr>
          <w:ilvl w:val="0"/>
          <w:numId w:val="17"/>
        </w:numPr>
        <w:rPr>
          <w:rFonts w:ascii="Arial Narrow" w:eastAsia="Times New Roman" w:hAnsi="Arial Narrow" w:cs="Arial"/>
          <w:color w:val="222222"/>
        </w:rPr>
      </w:pPr>
      <w:r w:rsidRPr="005F0D6F">
        <w:rPr>
          <w:rFonts w:ascii="Arial Narrow" w:eastAsia="Times New Roman" w:hAnsi="Arial Narrow" w:cs="Arial"/>
          <w:color w:val="222222"/>
        </w:rPr>
        <w:t>Landfill sites calcul</w:t>
      </w:r>
      <w:r w:rsidR="00FA02A8">
        <w:rPr>
          <w:rFonts w:ascii="Arial Narrow" w:eastAsia="Times New Roman" w:hAnsi="Arial Narrow" w:cs="Arial"/>
          <w:color w:val="222222"/>
        </w:rPr>
        <w:t>ation and information to actuaries</w:t>
      </w:r>
    </w:p>
    <w:p w:rsidR="005F0D6F" w:rsidRPr="005F0D6F" w:rsidRDefault="005F0D6F" w:rsidP="005F0D6F">
      <w:pPr>
        <w:pStyle w:val="NoSpacing"/>
        <w:numPr>
          <w:ilvl w:val="0"/>
          <w:numId w:val="17"/>
        </w:numPr>
        <w:rPr>
          <w:rFonts w:ascii="Arial Narrow" w:eastAsia="Times New Roman" w:hAnsi="Arial Narrow" w:cs="Arial"/>
          <w:color w:val="222222"/>
        </w:rPr>
      </w:pPr>
      <w:r w:rsidRPr="005F0D6F">
        <w:rPr>
          <w:rFonts w:ascii="Arial Narrow" w:eastAsia="Times New Roman" w:hAnsi="Arial Narrow" w:cs="Arial"/>
          <w:color w:val="222222"/>
        </w:rPr>
        <w:t>Income received in advance (Prepaid income)</w:t>
      </w:r>
    </w:p>
    <w:p w:rsidR="005F0D6F" w:rsidRPr="005F0D6F" w:rsidRDefault="005F0D6F" w:rsidP="005F0D6F">
      <w:pPr>
        <w:pStyle w:val="NoSpacing"/>
        <w:numPr>
          <w:ilvl w:val="0"/>
          <w:numId w:val="17"/>
        </w:numPr>
        <w:rPr>
          <w:rFonts w:ascii="Arial Narrow" w:eastAsia="Times New Roman" w:hAnsi="Arial Narrow" w:cs="Arial"/>
          <w:color w:val="222222"/>
        </w:rPr>
      </w:pPr>
      <w:r w:rsidRPr="005F0D6F">
        <w:rPr>
          <w:rFonts w:ascii="Arial Narrow" w:eastAsia="Times New Roman" w:hAnsi="Arial Narrow" w:cs="Arial"/>
          <w:color w:val="222222"/>
        </w:rPr>
        <w:t>Water and Electricity Losses calculations</w:t>
      </w:r>
    </w:p>
    <w:p w:rsidR="005F0D6F" w:rsidRPr="005F0D6F" w:rsidRDefault="005F0D6F" w:rsidP="005F0D6F">
      <w:pPr>
        <w:pStyle w:val="NoSpacing"/>
        <w:numPr>
          <w:ilvl w:val="0"/>
          <w:numId w:val="17"/>
        </w:numPr>
        <w:rPr>
          <w:rFonts w:ascii="Arial Narrow" w:eastAsia="Times New Roman" w:hAnsi="Arial Narrow" w:cs="Arial"/>
          <w:color w:val="222222"/>
        </w:rPr>
      </w:pPr>
      <w:r w:rsidRPr="005F0D6F">
        <w:rPr>
          <w:rFonts w:ascii="Arial Narrow" w:eastAsia="Times New Roman" w:hAnsi="Arial Narrow" w:cs="Arial"/>
          <w:color w:val="222222"/>
        </w:rPr>
        <w:t>Compliance checklist</w:t>
      </w:r>
    </w:p>
    <w:p w:rsidR="005F0D6F" w:rsidRDefault="005F0D6F" w:rsidP="005F0D6F">
      <w:pPr>
        <w:pStyle w:val="NoSpacing"/>
        <w:numPr>
          <w:ilvl w:val="0"/>
          <w:numId w:val="17"/>
        </w:numPr>
        <w:rPr>
          <w:rFonts w:ascii="Arial Narrow" w:eastAsia="Times New Roman" w:hAnsi="Arial Narrow" w:cs="Arial"/>
          <w:color w:val="222222"/>
        </w:rPr>
      </w:pPr>
      <w:r w:rsidRPr="005F0D6F">
        <w:rPr>
          <w:rFonts w:ascii="Arial Narrow" w:eastAsia="Times New Roman" w:hAnsi="Arial Narrow" w:cs="Arial"/>
          <w:color w:val="222222"/>
        </w:rPr>
        <w:t>Application of GRAP 17 ( Property, Plant and Equipment)</w:t>
      </w:r>
    </w:p>
    <w:p w:rsidR="005F0D6F" w:rsidRPr="005F0D6F" w:rsidRDefault="005F0D6F" w:rsidP="00672253">
      <w:pPr>
        <w:pStyle w:val="NoSpacing"/>
        <w:ind w:left="720"/>
        <w:rPr>
          <w:rFonts w:ascii="Arial Narrow" w:eastAsia="Times New Roman" w:hAnsi="Arial Narrow" w:cs="Arial"/>
          <w:color w:val="222222"/>
        </w:rPr>
      </w:pPr>
    </w:p>
    <w:p w:rsidR="005F0D6F" w:rsidRPr="005F0D6F" w:rsidRDefault="005F0D6F" w:rsidP="005F0D6F">
      <w:pPr>
        <w:pStyle w:val="NoSpacing"/>
        <w:rPr>
          <w:rFonts w:ascii="Arial Narrow" w:eastAsia="Times New Roman" w:hAnsi="Arial Narrow" w:cs="Arial"/>
          <w:color w:val="222222"/>
        </w:rPr>
      </w:pPr>
      <w:r>
        <w:rPr>
          <w:rFonts w:ascii="Arial Narrow" w:eastAsia="Times New Roman" w:hAnsi="Arial Narrow" w:cs="Arial"/>
          <w:color w:val="222222"/>
        </w:rPr>
        <w:t>The municipality managed to get and qualified audit opinion for 2014/15 audit.</w:t>
      </w:r>
    </w:p>
    <w:p w:rsidR="005F0D6F" w:rsidRPr="005F0D6F" w:rsidRDefault="005F0D6F" w:rsidP="005F0D6F">
      <w:pPr>
        <w:pStyle w:val="NoSpacing"/>
        <w:rPr>
          <w:rFonts w:ascii="Arial Narrow" w:hAnsi="Arial Narrow"/>
          <w:color w:val="444444"/>
          <w:shd w:val="clear" w:color="auto" w:fill="FFFFFF"/>
        </w:rPr>
      </w:pPr>
    </w:p>
    <w:p w:rsidR="00F85E08" w:rsidRPr="00796889" w:rsidRDefault="00796889" w:rsidP="00AF2A98">
      <w:pPr>
        <w:spacing w:before="120" w:after="120" w:line="360" w:lineRule="auto"/>
        <w:rPr>
          <w:rFonts w:ascii="Arial Narrow" w:hAnsi="Arial Narrow"/>
          <w:b/>
          <w:color w:val="000000" w:themeColor="text1"/>
        </w:rPr>
      </w:pPr>
      <w:r w:rsidRPr="00796889">
        <w:rPr>
          <w:rFonts w:ascii="Arial Narrow" w:hAnsi="Arial Narrow"/>
          <w:b/>
          <w:color w:val="000000" w:themeColor="text1"/>
        </w:rPr>
        <w:t>2.2</w:t>
      </w:r>
      <w:r w:rsidRPr="00796889">
        <w:rPr>
          <w:rFonts w:asciiTheme="majorHAnsi" w:eastAsiaTheme="majorEastAsia" w:hAnsi="Tw Cen MT" w:cstheme="majorBidi"/>
          <w:b/>
          <w:bCs/>
          <w:color w:val="000000" w:themeColor="text1"/>
          <w:kern w:val="24"/>
          <w:sz w:val="80"/>
          <w:szCs w:val="80"/>
          <w:lang w:val="en-US"/>
        </w:rPr>
        <w:t xml:space="preserve"> </w:t>
      </w:r>
      <w:r w:rsidR="001B4477">
        <w:rPr>
          <w:rFonts w:ascii="Arial Narrow" w:eastAsiaTheme="majorEastAsia" w:hAnsi="Arial Narrow" w:cstheme="majorBidi"/>
          <w:b/>
          <w:bCs/>
          <w:color w:val="000000" w:themeColor="text1"/>
          <w:kern w:val="24"/>
          <w:lang w:val="en-US"/>
        </w:rPr>
        <w:t>The A</w:t>
      </w:r>
      <w:r w:rsidR="00584E47">
        <w:rPr>
          <w:rFonts w:ascii="Arial Narrow" w:eastAsiaTheme="majorEastAsia" w:hAnsi="Arial Narrow" w:cstheme="majorBidi"/>
          <w:b/>
          <w:bCs/>
          <w:color w:val="000000" w:themeColor="text1"/>
          <w:kern w:val="24"/>
          <w:lang w:val="en-US"/>
        </w:rPr>
        <w:t>c</w:t>
      </w:r>
      <w:r w:rsidR="001B4477">
        <w:rPr>
          <w:rFonts w:ascii="Arial Narrow" w:eastAsiaTheme="majorEastAsia" w:hAnsi="Arial Narrow" w:cstheme="majorBidi"/>
          <w:b/>
          <w:bCs/>
          <w:color w:val="000000" w:themeColor="text1"/>
          <w:kern w:val="24"/>
          <w:lang w:val="en-US"/>
        </w:rPr>
        <w:t>tual 2015/16 Mid-Year Results Against IDP and T</w:t>
      </w:r>
      <w:r w:rsidRPr="00796889">
        <w:rPr>
          <w:rFonts w:ascii="Arial Narrow" w:eastAsiaTheme="majorEastAsia" w:hAnsi="Arial Narrow" w:cstheme="majorBidi"/>
          <w:b/>
          <w:bCs/>
          <w:color w:val="000000" w:themeColor="text1"/>
          <w:kern w:val="24"/>
          <w:lang w:val="en-US"/>
        </w:rPr>
        <w:t>argets in SDBIP</w:t>
      </w:r>
    </w:p>
    <w:p w:rsidR="00796889" w:rsidRPr="00796889" w:rsidRDefault="00796889" w:rsidP="00796889">
      <w:pPr>
        <w:rPr>
          <w:rFonts w:ascii="Arial Narrow" w:eastAsia="Times New Roman" w:hAnsi="Arial Narrow" w:cs="Times New Roman"/>
          <w:color w:val="DD8047"/>
          <w:sz w:val="13"/>
          <w:szCs w:val="24"/>
        </w:rPr>
      </w:pPr>
      <w:r w:rsidRPr="00796889">
        <w:rPr>
          <w:rFonts w:ascii="Arial Narrow" w:hAnsi="Arial Narrow"/>
        </w:rPr>
        <w:t>The mid-year financial assessment reveal financial and sustainability challenges. The continued unrealistic budgeting, where unachievable revenue and expenditure budgets have been set and not achieved, weak expenditure controls and poor management of assets has had a negative impact on the current financial status of the municipality.</w:t>
      </w:r>
    </w:p>
    <w:p w:rsidR="004F3F8F" w:rsidRDefault="007039BB" w:rsidP="004F3F8F">
      <w:pPr>
        <w:pStyle w:val="NormalWeb"/>
        <w:kinsoku w:val="0"/>
        <w:overflowPunct w:val="0"/>
        <w:spacing w:before="140" w:beforeAutospacing="0" w:after="0" w:afterAutospacing="0"/>
        <w:textAlignment w:val="baseline"/>
        <w:rPr>
          <w:rFonts w:ascii="Arial Narrow" w:eastAsiaTheme="minorEastAsia" w:hAnsi="Arial Narrow" w:cstheme="minorBidi"/>
          <w:color w:val="000000"/>
          <w:kern w:val="24"/>
          <w:sz w:val="22"/>
          <w:szCs w:val="22"/>
        </w:rPr>
      </w:pPr>
      <w:r>
        <w:rPr>
          <w:rFonts w:ascii="Arial Narrow" w:eastAsiaTheme="minorEastAsia" w:hAnsi="Arial Narrow" w:cstheme="minorBidi"/>
          <w:color w:val="000000"/>
          <w:kern w:val="24"/>
          <w:sz w:val="22"/>
          <w:szCs w:val="22"/>
        </w:rPr>
        <w:t xml:space="preserve">The cornerstone of financial recovery plan that were considered during budget preparation include </w:t>
      </w:r>
      <w:r w:rsidR="004F3F8F">
        <w:rPr>
          <w:rFonts w:ascii="Arial Narrow" w:eastAsiaTheme="minorEastAsia" w:hAnsi="Arial Narrow" w:cstheme="minorBidi"/>
          <w:color w:val="000000"/>
          <w:kern w:val="24"/>
          <w:sz w:val="22"/>
          <w:szCs w:val="22"/>
        </w:rPr>
        <w:t>the following:</w:t>
      </w:r>
    </w:p>
    <w:p w:rsidR="004F3F8F" w:rsidRDefault="004F3F8F" w:rsidP="004F3F8F">
      <w:pPr>
        <w:pStyle w:val="NormalWeb"/>
        <w:kinsoku w:val="0"/>
        <w:overflowPunct w:val="0"/>
        <w:spacing w:before="140" w:beforeAutospacing="0" w:after="0" w:afterAutospacing="0"/>
        <w:ind w:firstLine="720"/>
        <w:textAlignment w:val="baseline"/>
      </w:pPr>
      <w:r>
        <w:rPr>
          <w:rFonts w:ascii="Arial Narrow" w:eastAsiaTheme="minorEastAsia" w:hAnsi="Arial Narrow" w:cstheme="minorBidi"/>
          <w:color w:val="000000"/>
          <w:kern w:val="24"/>
          <w:sz w:val="22"/>
          <w:szCs w:val="22"/>
        </w:rPr>
        <w:t xml:space="preserve">   1) Revenue Enhancement Strategy</w:t>
      </w:r>
    </w:p>
    <w:p w:rsidR="004F3F8F" w:rsidRDefault="004F3F8F" w:rsidP="004F3F8F">
      <w:pPr>
        <w:pStyle w:val="NormalWeb"/>
        <w:kinsoku w:val="0"/>
        <w:overflowPunct w:val="0"/>
        <w:spacing w:before="140" w:beforeAutospacing="0" w:after="0" w:afterAutospacing="0"/>
        <w:textAlignment w:val="baseline"/>
      </w:pPr>
      <w:r>
        <w:rPr>
          <w:rFonts w:ascii="Arial Narrow" w:eastAsiaTheme="minorEastAsia" w:hAnsi="Arial Narrow" w:cstheme="minorBidi"/>
          <w:color w:val="000000"/>
          <w:kern w:val="24"/>
          <w:sz w:val="22"/>
          <w:szCs w:val="22"/>
        </w:rPr>
        <w:t xml:space="preserve">                  2) Cost Containment</w:t>
      </w:r>
    </w:p>
    <w:p w:rsidR="004F3F8F" w:rsidRDefault="004F3F8F" w:rsidP="004F3F8F">
      <w:pPr>
        <w:pStyle w:val="NormalWeb"/>
        <w:kinsoku w:val="0"/>
        <w:overflowPunct w:val="0"/>
        <w:spacing w:before="140" w:beforeAutospacing="0" w:after="0" w:afterAutospacing="0"/>
        <w:textAlignment w:val="baseline"/>
      </w:pPr>
      <w:r>
        <w:rPr>
          <w:rFonts w:ascii="Arial Narrow" w:eastAsiaTheme="minorEastAsia" w:hAnsi="Arial Narrow" w:cstheme="minorBidi"/>
          <w:color w:val="000000"/>
          <w:kern w:val="24"/>
          <w:sz w:val="22"/>
          <w:szCs w:val="22"/>
        </w:rPr>
        <w:t xml:space="preserve">                  3) Fraud and Risk Management Plan</w:t>
      </w:r>
    </w:p>
    <w:p w:rsidR="00796889" w:rsidRDefault="007039BB" w:rsidP="004F3F8F">
      <w:pPr>
        <w:pStyle w:val="NormalWeb"/>
        <w:kinsoku w:val="0"/>
        <w:overflowPunct w:val="0"/>
        <w:spacing w:before="140" w:beforeAutospacing="0" w:after="0" w:afterAutospacing="0"/>
        <w:textAlignment w:val="baseline"/>
        <w:rPr>
          <w:rFonts w:ascii="Arial Narrow" w:eastAsiaTheme="minorEastAsia" w:hAnsi="Arial Narrow" w:cstheme="minorBidi"/>
          <w:color w:val="000000" w:themeColor="text1"/>
          <w:kern w:val="24"/>
          <w:sz w:val="22"/>
          <w:szCs w:val="22"/>
        </w:rPr>
      </w:pPr>
      <w:r>
        <w:rPr>
          <w:rFonts w:ascii="Arial Narrow" w:eastAsiaTheme="minorEastAsia" w:hAnsi="Arial Narrow" w:cstheme="minorBidi"/>
          <w:color w:val="000000" w:themeColor="text1"/>
          <w:kern w:val="24"/>
          <w:sz w:val="22"/>
          <w:szCs w:val="22"/>
        </w:rPr>
        <w:t xml:space="preserve">The setting  </w:t>
      </w:r>
      <w:r w:rsidR="004F3F8F">
        <w:rPr>
          <w:rFonts w:ascii="Arial Narrow" w:eastAsiaTheme="minorEastAsia" w:hAnsi="Arial Narrow" w:cstheme="minorBidi"/>
          <w:color w:val="000000" w:themeColor="text1"/>
          <w:kern w:val="24"/>
          <w:sz w:val="22"/>
          <w:szCs w:val="22"/>
        </w:rPr>
        <w:t xml:space="preserve"> of cost reflective tariffs, unrealistic revenue collection levels, with general expenses and contracted services that appear to be excessive</w:t>
      </w:r>
      <w:r>
        <w:rPr>
          <w:rFonts w:ascii="Arial Narrow" w:eastAsiaTheme="minorEastAsia" w:hAnsi="Arial Narrow" w:cstheme="minorBidi"/>
          <w:color w:val="000000" w:themeColor="text1"/>
          <w:kern w:val="24"/>
          <w:sz w:val="22"/>
          <w:szCs w:val="22"/>
        </w:rPr>
        <w:t xml:space="preserve"> still needs to be addressed</w:t>
      </w:r>
      <w:r w:rsidR="004F3F8F">
        <w:rPr>
          <w:rFonts w:ascii="Arial Narrow" w:eastAsiaTheme="minorEastAsia" w:hAnsi="Arial Narrow" w:cstheme="minorBidi"/>
          <w:color w:val="000000" w:themeColor="text1"/>
          <w:kern w:val="24"/>
          <w:sz w:val="22"/>
          <w:szCs w:val="22"/>
        </w:rPr>
        <w:t>. These matters should</w:t>
      </w:r>
      <w:r w:rsidR="00C35AB1">
        <w:rPr>
          <w:rFonts w:ascii="Arial Narrow" w:eastAsiaTheme="minorEastAsia" w:hAnsi="Arial Narrow" w:cstheme="minorBidi"/>
          <w:color w:val="000000" w:themeColor="text1"/>
          <w:kern w:val="24"/>
          <w:sz w:val="22"/>
          <w:szCs w:val="22"/>
        </w:rPr>
        <w:t xml:space="preserve"> be adequately</w:t>
      </w:r>
      <w:r w:rsidR="004F3F8F">
        <w:rPr>
          <w:rFonts w:ascii="Arial Narrow" w:eastAsiaTheme="minorEastAsia" w:hAnsi="Arial Narrow" w:cstheme="minorBidi"/>
          <w:color w:val="000000" w:themeColor="text1"/>
          <w:kern w:val="24"/>
          <w:sz w:val="22"/>
          <w:szCs w:val="22"/>
        </w:rPr>
        <w:t xml:space="preserve"> addressed i</w:t>
      </w:r>
      <w:r>
        <w:rPr>
          <w:rFonts w:ascii="Arial Narrow" w:eastAsiaTheme="minorEastAsia" w:hAnsi="Arial Narrow" w:cstheme="minorBidi"/>
          <w:color w:val="000000" w:themeColor="text1"/>
          <w:kern w:val="24"/>
          <w:sz w:val="22"/>
          <w:szCs w:val="22"/>
        </w:rPr>
        <w:t>n the 2015/16 adjustment budget and 2016/17 budget preparation process.</w:t>
      </w:r>
    </w:p>
    <w:p w:rsidR="009F1D80" w:rsidRDefault="009F1D80" w:rsidP="004F3F8F">
      <w:pPr>
        <w:pStyle w:val="NormalWeb"/>
        <w:kinsoku w:val="0"/>
        <w:overflowPunct w:val="0"/>
        <w:spacing w:before="140" w:beforeAutospacing="0" w:after="0" w:afterAutospacing="0"/>
        <w:textAlignment w:val="baseline"/>
        <w:rPr>
          <w:rFonts w:ascii="Arial Narrow" w:eastAsiaTheme="minorEastAsia" w:hAnsi="Arial Narrow" w:cstheme="minorBidi"/>
          <w:color w:val="000000" w:themeColor="text1"/>
          <w:kern w:val="24"/>
          <w:sz w:val="22"/>
          <w:szCs w:val="22"/>
        </w:rPr>
      </w:pPr>
    </w:p>
    <w:p w:rsidR="00F85E08" w:rsidRPr="00BF0B5C" w:rsidRDefault="00F85E08" w:rsidP="00FE3795">
      <w:pPr>
        <w:pStyle w:val="ListParagraph"/>
        <w:numPr>
          <w:ilvl w:val="0"/>
          <w:numId w:val="7"/>
        </w:numPr>
        <w:autoSpaceDE w:val="0"/>
        <w:autoSpaceDN w:val="0"/>
        <w:adjustRightInd w:val="0"/>
        <w:spacing w:before="240" w:after="0" w:line="240" w:lineRule="auto"/>
        <w:rPr>
          <w:rFonts w:ascii="Arial Narrow" w:hAnsi="Arial Narrow" w:cs="Calibri"/>
          <w:b/>
          <w:bCs/>
        </w:rPr>
      </w:pPr>
      <w:r w:rsidRPr="00BF0B5C">
        <w:rPr>
          <w:rFonts w:ascii="Arial Narrow" w:hAnsi="Arial Narrow" w:cs="Calibri"/>
          <w:b/>
          <w:bCs/>
        </w:rPr>
        <w:t>BUDGET PERFORMANCE ANALYSIS</w:t>
      </w:r>
    </w:p>
    <w:p w:rsidR="004F3F8F" w:rsidRPr="004F3F8F" w:rsidRDefault="004F3F8F" w:rsidP="004F3F8F">
      <w:pPr>
        <w:autoSpaceDE w:val="0"/>
        <w:autoSpaceDN w:val="0"/>
        <w:adjustRightInd w:val="0"/>
        <w:spacing w:before="240" w:after="0" w:line="240" w:lineRule="auto"/>
        <w:rPr>
          <w:rFonts w:ascii="Arial Narrow" w:hAnsi="Arial Narrow" w:cs="Calibri"/>
          <w:b/>
          <w:bCs/>
        </w:rPr>
      </w:pPr>
      <w:r w:rsidRPr="004F3F8F">
        <w:rPr>
          <w:rFonts w:ascii="Arial Narrow" w:hAnsi="Arial Narrow" w:cs="Calibri"/>
          <w:b/>
          <w:bCs/>
          <w:lang w:val="en-US"/>
        </w:rPr>
        <w:t>3.1 Budget per</w:t>
      </w:r>
      <w:r w:rsidR="00B86D0F">
        <w:rPr>
          <w:rFonts w:ascii="Arial Narrow" w:hAnsi="Arial Narrow" w:cs="Calibri"/>
          <w:b/>
          <w:bCs/>
          <w:lang w:val="en-US"/>
        </w:rPr>
        <w:t>formance analysis (Operational Revenue and E</w:t>
      </w:r>
      <w:r w:rsidRPr="004F3F8F">
        <w:rPr>
          <w:rFonts w:ascii="Arial Narrow" w:hAnsi="Arial Narrow" w:cs="Calibri"/>
          <w:b/>
          <w:bCs/>
          <w:lang w:val="en-US"/>
        </w:rPr>
        <w:t>xpenditure)</w:t>
      </w:r>
    </w:p>
    <w:p w:rsidR="00F85E08" w:rsidRDefault="00F85E08" w:rsidP="00CC006D">
      <w:pPr>
        <w:spacing w:before="240" w:line="240" w:lineRule="auto"/>
        <w:rPr>
          <w:rFonts w:ascii="Arial Narrow" w:hAnsi="Arial Narrow" w:cs="Calibri"/>
          <w:b/>
        </w:rPr>
      </w:pPr>
      <w:r w:rsidRPr="00BF0B5C">
        <w:rPr>
          <w:rFonts w:ascii="Arial Narrow" w:hAnsi="Arial Narrow" w:cs="Calibri"/>
          <w:b/>
        </w:rPr>
        <w:t>3.1.1</w:t>
      </w:r>
      <w:r w:rsidRPr="00BF0B5C">
        <w:rPr>
          <w:rFonts w:ascii="Arial Narrow" w:hAnsi="Arial Narrow" w:cs="Calibri"/>
        </w:rPr>
        <w:tab/>
      </w:r>
      <w:r w:rsidRPr="00BF0B5C">
        <w:rPr>
          <w:rFonts w:ascii="Arial Narrow" w:hAnsi="Arial Narrow" w:cs="Calibri"/>
          <w:b/>
        </w:rPr>
        <w:t>Revenue</w:t>
      </w:r>
    </w:p>
    <w:p w:rsidR="004F3F8F" w:rsidRDefault="004F3F8F" w:rsidP="00CC006D">
      <w:pPr>
        <w:spacing w:before="240" w:line="240" w:lineRule="auto"/>
        <w:rPr>
          <w:rFonts w:ascii="Arial Narrow" w:hAnsi="Arial Narrow" w:cs="Calibri"/>
          <w:b/>
        </w:rPr>
      </w:pPr>
      <w:r w:rsidRPr="004F3F8F">
        <w:rPr>
          <w:noProof/>
        </w:rPr>
        <w:drawing>
          <wp:inline distT="0" distB="0" distL="0" distR="0">
            <wp:extent cx="5905500" cy="2181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5500" cy="2181225"/>
                    </a:xfrm>
                    <a:prstGeom prst="rect">
                      <a:avLst/>
                    </a:prstGeom>
                    <a:noFill/>
                    <a:ln>
                      <a:noFill/>
                    </a:ln>
                  </pic:spPr>
                </pic:pic>
              </a:graphicData>
            </a:graphic>
          </wp:inline>
        </w:drawing>
      </w:r>
    </w:p>
    <w:p w:rsidR="00CD29BB" w:rsidRDefault="00F85E08" w:rsidP="005514CE">
      <w:pPr>
        <w:pStyle w:val="NoSpacing"/>
        <w:rPr>
          <w:rFonts w:ascii="Arial Narrow" w:hAnsi="Arial Narrow"/>
        </w:rPr>
      </w:pPr>
      <w:r w:rsidRPr="005514CE">
        <w:rPr>
          <w:rFonts w:ascii="Arial Narrow" w:hAnsi="Arial Narrow"/>
        </w:rPr>
        <w:lastRenderedPageBreak/>
        <w:t>The municipality’s total revenue for the first six months was R</w:t>
      </w:r>
      <w:r w:rsidR="009B26F5" w:rsidRPr="005514CE">
        <w:rPr>
          <w:rFonts w:ascii="Arial Narrow" w:hAnsi="Arial Narrow"/>
        </w:rPr>
        <w:t>220</w:t>
      </w:r>
      <w:r w:rsidR="001B4477" w:rsidRPr="005514CE">
        <w:rPr>
          <w:rFonts w:ascii="Arial Narrow" w:hAnsi="Arial Narrow"/>
        </w:rPr>
        <w:t>,</w:t>
      </w:r>
      <w:r w:rsidR="009B26F5" w:rsidRPr="005514CE">
        <w:rPr>
          <w:rFonts w:ascii="Arial Narrow" w:hAnsi="Arial Narrow"/>
        </w:rPr>
        <w:t xml:space="preserve"> 058</w:t>
      </w:r>
      <w:r w:rsidR="00BE5D66" w:rsidRPr="005514CE">
        <w:rPr>
          <w:rFonts w:ascii="Arial Narrow" w:hAnsi="Arial Narrow"/>
        </w:rPr>
        <w:t xml:space="preserve"> </w:t>
      </w:r>
      <w:r w:rsidRPr="005514CE">
        <w:rPr>
          <w:rFonts w:ascii="Arial Narrow" w:hAnsi="Arial Narrow"/>
        </w:rPr>
        <w:t>m</w:t>
      </w:r>
      <w:r w:rsidR="00BE5D66" w:rsidRPr="005514CE">
        <w:rPr>
          <w:rFonts w:ascii="Arial Narrow" w:hAnsi="Arial Narrow"/>
        </w:rPr>
        <w:t>illion</w:t>
      </w:r>
      <w:r w:rsidRPr="005514CE">
        <w:rPr>
          <w:rFonts w:ascii="Arial Narrow" w:hAnsi="Arial Narrow"/>
        </w:rPr>
        <w:t xml:space="preserve">, which is </w:t>
      </w:r>
      <w:r w:rsidR="00C7727F" w:rsidRPr="005514CE">
        <w:rPr>
          <w:rFonts w:ascii="Arial Narrow" w:hAnsi="Arial Narrow"/>
        </w:rPr>
        <w:t>51</w:t>
      </w:r>
      <w:r w:rsidRPr="005514CE">
        <w:rPr>
          <w:rFonts w:ascii="Arial Narrow" w:hAnsi="Arial Narrow"/>
        </w:rPr>
        <w:t xml:space="preserve">% of the annual budget of </w:t>
      </w:r>
      <w:r w:rsidR="00C7727F" w:rsidRPr="005514CE">
        <w:rPr>
          <w:rFonts w:ascii="Arial Narrow" w:hAnsi="Arial Narrow"/>
        </w:rPr>
        <w:t>R427</w:t>
      </w:r>
      <w:r w:rsidR="001B4477" w:rsidRPr="005514CE">
        <w:rPr>
          <w:rFonts w:ascii="Arial Narrow" w:hAnsi="Arial Narrow"/>
        </w:rPr>
        <w:t>,</w:t>
      </w:r>
      <w:r w:rsidR="00C7727F" w:rsidRPr="005514CE">
        <w:rPr>
          <w:rFonts w:ascii="Arial Narrow" w:hAnsi="Arial Narrow"/>
        </w:rPr>
        <w:t xml:space="preserve"> 637</w:t>
      </w:r>
      <w:r w:rsidR="00BE5D66" w:rsidRPr="005514CE">
        <w:rPr>
          <w:rFonts w:ascii="Arial Narrow" w:hAnsi="Arial Narrow"/>
        </w:rPr>
        <w:t xml:space="preserve"> million. </w:t>
      </w:r>
    </w:p>
    <w:p w:rsidR="00CD29BB" w:rsidRDefault="00CD29BB" w:rsidP="005514CE">
      <w:pPr>
        <w:pStyle w:val="NoSpacing"/>
        <w:rPr>
          <w:rFonts w:ascii="Arial Narrow" w:hAnsi="Arial Narrow"/>
        </w:rPr>
      </w:pPr>
    </w:p>
    <w:p w:rsidR="009540C1" w:rsidRPr="005514CE" w:rsidRDefault="0065617B" w:rsidP="005514CE">
      <w:pPr>
        <w:pStyle w:val="NoSpacing"/>
        <w:rPr>
          <w:rFonts w:ascii="Arial Narrow" w:hAnsi="Arial Narrow"/>
        </w:rPr>
      </w:pPr>
      <w:r w:rsidRPr="005514CE">
        <w:rPr>
          <w:rFonts w:ascii="Arial Narrow" w:hAnsi="Arial Narrow"/>
        </w:rPr>
        <w:t>Under other revenue there is an inf</w:t>
      </w:r>
      <w:r w:rsidR="00C7727F" w:rsidRPr="005514CE">
        <w:rPr>
          <w:rFonts w:ascii="Arial Narrow" w:hAnsi="Arial Narrow"/>
        </w:rPr>
        <w:t>rastructure levy included of R4</w:t>
      </w:r>
      <w:r w:rsidR="001B4477" w:rsidRPr="005514CE">
        <w:rPr>
          <w:rFonts w:ascii="Arial Narrow" w:hAnsi="Arial Narrow"/>
        </w:rPr>
        <w:t>,</w:t>
      </w:r>
      <w:r w:rsidR="00C7727F" w:rsidRPr="005514CE">
        <w:rPr>
          <w:rFonts w:ascii="Arial Narrow" w:hAnsi="Arial Narrow"/>
        </w:rPr>
        <w:t xml:space="preserve"> 959 million. The municipality is unable to implement the levy due to public participation processes not being followed</w:t>
      </w:r>
      <w:r w:rsidR="00E72BDE" w:rsidRPr="005514CE">
        <w:rPr>
          <w:rFonts w:ascii="Arial Narrow" w:hAnsi="Arial Narrow"/>
        </w:rPr>
        <w:t xml:space="preserve">. </w:t>
      </w:r>
      <w:r w:rsidRPr="005514CE">
        <w:rPr>
          <w:rFonts w:ascii="Arial Narrow" w:hAnsi="Arial Narrow"/>
        </w:rPr>
        <w:t xml:space="preserve">This will </w:t>
      </w:r>
      <w:r w:rsidR="00C7727F" w:rsidRPr="005514CE">
        <w:rPr>
          <w:rFonts w:ascii="Arial Narrow" w:hAnsi="Arial Narrow"/>
        </w:rPr>
        <w:t>have an impact in the revenue projections.</w:t>
      </w:r>
    </w:p>
    <w:p w:rsidR="00B172E8" w:rsidRDefault="00B172E8" w:rsidP="00550BAE">
      <w:pPr>
        <w:pStyle w:val="NoSpacing"/>
        <w:spacing w:before="240" w:line="360" w:lineRule="auto"/>
        <w:rPr>
          <w:rFonts w:ascii="Arial Narrow" w:hAnsi="Arial Narrow"/>
        </w:rPr>
      </w:pPr>
    </w:p>
    <w:p w:rsidR="00136E1C" w:rsidRPr="00B172E8" w:rsidRDefault="00B172E8" w:rsidP="00B172E8">
      <w:pPr>
        <w:rPr>
          <w:rFonts w:ascii="Arial Narrow" w:hAnsi="Arial Narrow"/>
          <w:b/>
        </w:rPr>
      </w:pPr>
      <w:r w:rsidRPr="00B172E8">
        <w:rPr>
          <w:rFonts w:ascii="Arial Narrow" w:hAnsi="Arial Narrow"/>
          <w:b/>
        </w:rPr>
        <w:t xml:space="preserve">3.2 </w:t>
      </w:r>
      <w:r w:rsidR="00F85E08" w:rsidRPr="00B172E8">
        <w:rPr>
          <w:rFonts w:ascii="Arial Narrow" w:hAnsi="Arial Narrow"/>
          <w:b/>
        </w:rPr>
        <w:t>Expenditure</w:t>
      </w:r>
      <w:r w:rsidR="00136E1C" w:rsidRPr="00B172E8">
        <w:rPr>
          <w:rFonts w:ascii="Arial Narrow" w:hAnsi="Arial Narrow"/>
          <w:b/>
        </w:rPr>
        <w:t xml:space="preserve"> </w:t>
      </w:r>
    </w:p>
    <w:p w:rsidR="00136E1C" w:rsidRDefault="00136E1C" w:rsidP="00136E1C">
      <w:pPr>
        <w:pStyle w:val="ListParagraph"/>
        <w:spacing w:before="240" w:line="360" w:lineRule="auto"/>
        <w:ind w:left="1080"/>
        <w:rPr>
          <w:rFonts w:ascii="Arial Narrow" w:hAnsi="Arial Narrow" w:cstheme="minorHAnsi"/>
          <w:b/>
        </w:rPr>
      </w:pPr>
    </w:p>
    <w:p w:rsidR="00F85E08" w:rsidRPr="00136E1C" w:rsidRDefault="00136E1C" w:rsidP="00007918">
      <w:pPr>
        <w:pStyle w:val="ListParagraph"/>
        <w:spacing w:before="240" w:line="360" w:lineRule="auto"/>
        <w:ind w:left="1080"/>
        <w:jc w:val="center"/>
        <w:rPr>
          <w:rFonts w:ascii="Arial Narrow" w:hAnsi="Arial Narrow" w:cstheme="minorHAnsi"/>
          <w:b/>
        </w:rPr>
      </w:pPr>
      <w:r w:rsidRPr="00136E1C">
        <w:rPr>
          <w:noProof/>
        </w:rPr>
        <w:drawing>
          <wp:inline distT="0" distB="0" distL="0" distR="0">
            <wp:extent cx="5324475" cy="22383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4475" cy="2238375"/>
                    </a:xfrm>
                    <a:prstGeom prst="rect">
                      <a:avLst/>
                    </a:prstGeom>
                    <a:noFill/>
                    <a:ln>
                      <a:noFill/>
                    </a:ln>
                  </pic:spPr>
                </pic:pic>
              </a:graphicData>
            </a:graphic>
          </wp:inline>
        </w:drawing>
      </w:r>
    </w:p>
    <w:p w:rsidR="00A32920" w:rsidRDefault="005B0A47" w:rsidP="005514CE">
      <w:pPr>
        <w:pStyle w:val="NoSpacing"/>
        <w:rPr>
          <w:rFonts w:ascii="Arial Narrow" w:hAnsi="Arial Narrow"/>
        </w:rPr>
      </w:pPr>
      <w:r w:rsidRPr="005514CE">
        <w:rPr>
          <w:rFonts w:ascii="Arial Narrow" w:hAnsi="Arial Narrow"/>
        </w:rPr>
        <w:t xml:space="preserve">The municipality’s total operating expenditure for the first six </w:t>
      </w:r>
      <w:r w:rsidR="00007918" w:rsidRPr="005514CE">
        <w:rPr>
          <w:rFonts w:ascii="Arial Narrow" w:hAnsi="Arial Narrow"/>
        </w:rPr>
        <w:t>months was R151</w:t>
      </w:r>
      <w:r w:rsidR="001B4477" w:rsidRPr="005514CE">
        <w:rPr>
          <w:rFonts w:ascii="Arial Narrow" w:hAnsi="Arial Narrow"/>
        </w:rPr>
        <w:t>,</w:t>
      </w:r>
      <w:r w:rsidR="007E707E" w:rsidRPr="005514CE">
        <w:rPr>
          <w:rFonts w:ascii="Arial Narrow" w:hAnsi="Arial Narrow"/>
        </w:rPr>
        <w:t xml:space="preserve"> 486 million, which is 35</w:t>
      </w:r>
      <w:r w:rsidRPr="005514CE">
        <w:rPr>
          <w:rFonts w:ascii="Arial Narrow" w:hAnsi="Arial Narrow"/>
        </w:rPr>
        <w:t xml:space="preserve">% </w:t>
      </w:r>
      <w:r w:rsidR="00136E1C" w:rsidRPr="005514CE">
        <w:rPr>
          <w:rFonts w:ascii="Arial Narrow" w:hAnsi="Arial Narrow"/>
        </w:rPr>
        <w:t>of the annual budget of R4</w:t>
      </w:r>
      <w:r w:rsidR="001B4477" w:rsidRPr="005514CE">
        <w:rPr>
          <w:rFonts w:ascii="Arial Narrow" w:hAnsi="Arial Narrow"/>
        </w:rPr>
        <w:t xml:space="preserve">27, </w:t>
      </w:r>
      <w:r w:rsidR="00007918" w:rsidRPr="005514CE">
        <w:rPr>
          <w:rFonts w:ascii="Arial Narrow" w:hAnsi="Arial Narrow"/>
        </w:rPr>
        <w:t>637</w:t>
      </w:r>
      <w:r w:rsidR="00136E1C" w:rsidRPr="005514CE">
        <w:rPr>
          <w:rFonts w:ascii="Arial Narrow" w:hAnsi="Arial Narrow"/>
        </w:rPr>
        <w:t xml:space="preserve"> </w:t>
      </w:r>
      <w:r w:rsidRPr="005514CE">
        <w:rPr>
          <w:rFonts w:ascii="Arial Narrow" w:hAnsi="Arial Narrow"/>
        </w:rPr>
        <w:t xml:space="preserve">million. </w:t>
      </w:r>
    </w:p>
    <w:p w:rsidR="005514CE" w:rsidRDefault="005514CE" w:rsidP="005514CE">
      <w:pPr>
        <w:pStyle w:val="NoSpacing"/>
        <w:rPr>
          <w:rFonts w:ascii="Arial Narrow" w:hAnsi="Arial Narrow"/>
        </w:rPr>
      </w:pPr>
    </w:p>
    <w:p w:rsidR="005514CE" w:rsidRPr="005514CE" w:rsidRDefault="005514CE" w:rsidP="005514CE">
      <w:pPr>
        <w:pStyle w:val="NoSpacing"/>
        <w:rPr>
          <w:rFonts w:ascii="Arial Narrow" w:hAnsi="Arial Narrow"/>
        </w:rPr>
      </w:pPr>
    </w:p>
    <w:p w:rsidR="00F553D0" w:rsidRPr="005514CE" w:rsidRDefault="005B0A47" w:rsidP="005514CE">
      <w:pPr>
        <w:pStyle w:val="NoSpacing"/>
        <w:rPr>
          <w:rFonts w:ascii="Arial Narrow" w:hAnsi="Arial Narrow"/>
        </w:rPr>
      </w:pPr>
      <w:r w:rsidRPr="005514CE">
        <w:rPr>
          <w:rFonts w:ascii="Arial Narrow" w:hAnsi="Arial Narrow"/>
        </w:rPr>
        <w:t xml:space="preserve">The low spending level was mainly caused by </w:t>
      </w:r>
      <w:r w:rsidR="00F553D0" w:rsidRPr="005514CE">
        <w:rPr>
          <w:rFonts w:ascii="Arial Narrow" w:hAnsi="Arial Narrow"/>
        </w:rPr>
        <w:t xml:space="preserve">the challenges in </w:t>
      </w:r>
      <w:r w:rsidRPr="005514CE">
        <w:rPr>
          <w:rFonts w:ascii="Arial Narrow" w:hAnsi="Arial Narrow"/>
        </w:rPr>
        <w:t>cash flow</w:t>
      </w:r>
      <w:r w:rsidR="00F553D0" w:rsidRPr="005514CE">
        <w:rPr>
          <w:rFonts w:ascii="Arial Narrow" w:hAnsi="Arial Narrow"/>
        </w:rPr>
        <w:t xml:space="preserve"> management</w:t>
      </w:r>
      <w:r w:rsidR="00AB1EF9" w:rsidRPr="005514CE">
        <w:rPr>
          <w:rFonts w:ascii="Arial Narrow" w:hAnsi="Arial Narrow"/>
        </w:rPr>
        <w:t>:</w:t>
      </w:r>
    </w:p>
    <w:p w:rsidR="00F553D0" w:rsidRPr="005514CE" w:rsidRDefault="005B0A47" w:rsidP="005514CE">
      <w:pPr>
        <w:pStyle w:val="NoSpacing"/>
        <w:numPr>
          <w:ilvl w:val="0"/>
          <w:numId w:val="24"/>
        </w:numPr>
        <w:rPr>
          <w:rFonts w:ascii="Arial Narrow" w:hAnsi="Arial Narrow"/>
        </w:rPr>
      </w:pPr>
      <w:r w:rsidRPr="005514CE">
        <w:rPr>
          <w:rFonts w:ascii="Arial Narrow" w:hAnsi="Arial Narrow"/>
        </w:rPr>
        <w:t>As at Dec</w:t>
      </w:r>
      <w:r w:rsidR="007E707E" w:rsidRPr="005514CE">
        <w:rPr>
          <w:rFonts w:ascii="Arial Narrow" w:hAnsi="Arial Narrow"/>
        </w:rPr>
        <w:t>ember the collection rate was 71% compared to the budgeted 8</w:t>
      </w:r>
      <w:r w:rsidRPr="005514CE">
        <w:rPr>
          <w:rFonts w:ascii="Arial Narrow" w:hAnsi="Arial Narrow"/>
        </w:rPr>
        <w:t>5%.</w:t>
      </w:r>
      <w:r w:rsidR="00F553D0" w:rsidRPr="005514CE">
        <w:rPr>
          <w:rFonts w:ascii="Arial Narrow" w:hAnsi="Arial Narrow"/>
        </w:rPr>
        <w:t xml:space="preserve"> This resulted in certain expend</w:t>
      </w:r>
      <w:r w:rsidR="007E707E" w:rsidRPr="005514CE">
        <w:rPr>
          <w:rFonts w:ascii="Arial Narrow" w:hAnsi="Arial Narrow"/>
        </w:rPr>
        <w:t xml:space="preserve">iture being put on hold </w:t>
      </w:r>
      <w:r w:rsidR="00C35AB1">
        <w:rPr>
          <w:rFonts w:ascii="Arial Narrow" w:hAnsi="Arial Narrow"/>
        </w:rPr>
        <w:t xml:space="preserve">to </w:t>
      </w:r>
      <w:r w:rsidR="007E707E" w:rsidRPr="005514CE">
        <w:rPr>
          <w:rFonts w:ascii="Arial Narrow" w:hAnsi="Arial Narrow"/>
        </w:rPr>
        <w:t>compensate for the funds used in the payment of the accruals.</w:t>
      </w:r>
    </w:p>
    <w:p w:rsidR="005B0A47" w:rsidRDefault="006E2A2A" w:rsidP="005514CE">
      <w:pPr>
        <w:pStyle w:val="NoSpacing"/>
        <w:numPr>
          <w:ilvl w:val="0"/>
          <w:numId w:val="24"/>
        </w:numPr>
        <w:rPr>
          <w:rFonts w:ascii="Arial Narrow" w:hAnsi="Arial Narrow"/>
        </w:rPr>
      </w:pPr>
      <w:r w:rsidRPr="005514CE">
        <w:rPr>
          <w:rFonts w:ascii="Arial Narrow" w:hAnsi="Arial Narrow"/>
        </w:rPr>
        <w:t>Currently total</w:t>
      </w:r>
      <w:r w:rsidR="007E707E" w:rsidRPr="005514CE">
        <w:rPr>
          <w:rFonts w:ascii="Arial Narrow" w:hAnsi="Arial Narrow"/>
        </w:rPr>
        <w:t xml:space="preserve"> creditors amount to R78,</w:t>
      </w:r>
      <w:r w:rsidR="00665242" w:rsidRPr="005514CE">
        <w:rPr>
          <w:rFonts w:ascii="Arial Narrow" w:hAnsi="Arial Narrow"/>
        </w:rPr>
        <w:t xml:space="preserve"> </w:t>
      </w:r>
      <w:r w:rsidR="007E707E" w:rsidRPr="005514CE">
        <w:rPr>
          <w:rFonts w:ascii="Arial Narrow" w:hAnsi="Arial Narrow"/>
        </w:rPr>
        <w:t>916 million.</w:t>
      </w:r>
    </w:p>
    <w:p w:rsidR="005514CE" w:rsidRPr="005514CE" w:rsidRDefault="005514CE" w:rsidP="005514CE">
      <w:pPr>
        <w:pStyle w:val="NoSpacing"/>
        <w:ind w:left="720"/>
        <w:rPr>
          <w:rFonts w:ascii="Arial Narrow" w:hAnsi="Arial Narrow"/>
        </w:rPr>
      </w:pPr>
    </w:p>
    <w:p w:rsidR="00DB164D" w:rsidRDefault="005B0A47" w:rsidP="005514CE">
      <w:pPr>
        <w:pStyle w:val="NoSpacing"/>
        <w:rPr>
          <w:rFonts w:ascii="Arial Narrow" w:hAnsi="Arial Narrow"/>
        </w:rPr>
      </w:pPr>
      <w:r w:rsidRPr="005514CE">
        <w:rPr>
          <w:rFonts w:ascii="Arial Narrow" w:hAnsi="Arial Narrow"/>
        </w:rPr>
        <w:t>Employee-related</w:t>
      </w:r>
      <w:r w:rsidR="006805AA" w:rsidRPr="005514CE">
        <w:rPr>
          <w:rFonts w:ascii="Arial Narrow" w:hAnsi="Arial Narrow"/>
        </w:rPr>
        <w:t xml:space="preserve"> costs</w:t>
      </w:r>
      <w:r w:rsidRPr="005514CE">
        <w:rPr>
          <w:rFonts w:ascii="Arial Narrow" w:hAnsi="Arial Narrow"/>
        </w:rPr>
        <w:t xml:space="preserve"> </w:t>
      </w:r>
      <w:r w:rsidR="007F155F" w:rsidRPr="005514CE">
        <w:rPr>
          <w:rFonts w:ascii="Arial Narrow" w:hAnsi="Arial Narrow"/>
        </w:rPr>
        <w:t>shows an overspending of R12</w:t>
      </w:r>
      <w:r w:rsidR="001B4477" w:rsidRPr="005514CE">
        <w:rPr>
          <w:rFonts w:ascii="Arial Narrow" w:hAnsi="Arial Narrow"/>
        </w:rPr>
        <w:t>,</w:t>
      </w:r>
      <w:r w:rsidR="007F155F" w:rsidRPr="005514CE">
        <w:rPr>
          <w:rFonts w:ascii="Arial Narrow" w:hAnsi="Arial Narrow"/>
        </w:rPr>
        <w:t xml:space="preserve"> 928</w:t>
      </w:r>
      <w:r w:rsidR="00DB164D" w:rsidRPr="005514CE">
        <w:rPr>
          <w:rFonts w:ascii="Arial Narrow" w:hAnsi="Arial Narrow"/>
        </w:rPr>
        <w:t xml:space="preserve"> as per budget projection</w:t>
      </w:r>
      <w:r w:rsidR="007F155F" w:rsidRPr="005514CE">
        <w:rPr>
          <w:rFonts w:ascii="Arial Narrow" w:hAnsi="Arial Narrow"/>
        </w:rPr>
        <w:t xml:space="preserve">, which is 21% </w:t>
      </w:r>
      <w:r w:rsidR="00DB164D" w:rsidRPr="005514CE">
        <w:rPr>
          <w:rFonts w:ascii="Arial Narrow" w:hAnsi="Arial Narrow"/>
        </w:rPr>
        <w:t>variance</w:t>
      </w:r>
      <w:r w:rsidR="007F155F" w:rsidRPr="005514CE">
        <w:rPr>
          <w:rFonts w:ascii="Arial Narrow" w:hAnsi="Arial Narrow"/>
        </w:rPr>
        <w:t>. This is due to the misallocation of contracted employee salaries and overtime.</w:t>
      </w:r>
      <w:r w:rsidR="00EB3E89" w:rsidRPr="005514CE">
        <w:rPr>
          <w:rFonts w:ascii="Arial Narrow" w:hAnsi="Arial Narrow"/>
        </w:rPr>
        <w:t xml:space="preserve"> </w:t>
      </w:r>
      <w:r w:rsidR="00DB164D" w:rsidRPr="005514CE">
        <w:rPr>
          <w:rFonts w:ascii="Arial Narrow" w:hAnsi="Arial Narrow"/>
        </w:rPr>
        <w:t>Budgeted</w:t>
      </w:r>
      <w:r w:rsidRPr="005514CE">
        <w:rPr>
          <w:rFonts w:ascii="Arial Narrow" w:hAnsi="Arial Narrow"/>
        </w:rPr>
        <w:t xml:space="preserve"> </w:t>
      </w:r>
      <w:r w:rsidR="00DB164D" w:rsidRPr="005514CE">
        <w:rPr>
          <w:rFonts w:ascii="Arial Narrow" w:hAnsi="Arial Narrow"/>
        </w:rPr>
        <w:t>vacancies have been filled and this has</w:t>
      </w:r>
      <w:r w:rsidR="006805AA" w:rsidRPr="005514CE">
        <w:rPr>
          <w:rFonts w:ascii="Arial Narrow" w:hAnsi="Arial Narrow"/>
        </w:rPr>
        <w:t xml:space="preserve"> resulted in </w:t>
      </w:r>
      <w:r w:rsidRPr="005514CE">
        <w:rPr>
          <w:rFonts w:ascii="Arial Narrow" w:hAnsi="Arial Narrow"/>
        </w:rPr>
        <w:t>departments resort</w:t>
      </w:r>
      <w:r w:rsidR="006805AA" w:rsidRPr="005514CE">
        <w:rPr>
          <w:rFonts w:ascii="Arial Narrow" w:hAnsi="Arial Narrow"/>
        </w:rPr>
        <w:t>ing</w:t>
      </w:r>
      <w:r w:rsidRPr="005514CE">
        <w:rPr>
          <w:rFonts w:ascii="Arial Narrow" w:hAnsi="Arial Narrow"/>
        </w:rPr>
        <w:t xml:space="preserve"> to use of overtime to close the vacancy gap</w:t>
      </w:r>
      <w:r w:rsidR="006805AA" w:rsidRPr="005514CE">
        <w:rPr>
          <w:rFonts w:ascii="Arial Narrow" w:hAnsi="Arial Narrow"/>
        </w:rPr>
        <w:t xml:space="preserve">. </w:t>
      </w:r>
    </w:p>
    <w:p w:rsidR="00A626B3" w:rsidRPr="005514CE" w:rsidRDefault="00A626B3" w:rsidP="005514CE">
      <w:pPr>
        <w:pStyle w:val="NoSpacing"/>
        <w:rPr>
          <w:rFonts w:ascii="Arial Narrow" w:hAnsi="Arial Narrow"/>
        </w:rPr>
      </w:pPr>
    </w:p>
    <w:p w:rsidR="00CD63B8" w:rsidRPr="005514CE" w:rsidRDefault="006805AA" w:rsidP="005514CE">
      <w:pPr>
        <w:pStyle w:val="NoSpacing"/>
        <w:rPr>
          <w:rFonts w:ascii="Arial Narrow" w:hAnsi="Arial Narrow"/>
        </w:rPr>
      </w:pPr>
      <w:r w:rsidRPr="005514CE">
        <w:rPr>
          <w:rFonts w:ascii="Arial Narrow" w:hAnsi="Arial Narrow"/>
        </w:rPr>
        <w:t>Overtime costs show high spend</w:t>
      </w:r>
      <w:r w:rsidR="00FC5B19" w:rsidRPr="005514CE">
        <w:rPr>
          <w:rFonts w:ascii="Arial Narrow" w:hAnsi="Arial Narrow"/>
        </w:rPr>
        <w:t xml:space="preserve">ing. </w:t>
      </w:r>
      <w:r w:rsidR="00DB164D" w:rsidRPr="005514CE">
        <w:rPr>
          <w:rFonts w:ascii="Arial Narrow" w:hAnsi="Arial Narrow"/>
        </w:rPr>
        <w:t xml:space="preserve"> The expenditure cost for overtime exceed the budgeted costs by R1</w:t>
      </w:r>
      <w:r w:rsidR="001B4477" w:rsidRPr="005514CE">
        <w:rPr>
          <w:rFonts w:ascii="Arial Narrow" w:hAnsi="Arial Narrow"/>
        </w:rPr>
        <w:t>,</w:t>
      </w:r>
      <w:r w:rsidR="00DB164D" w:rsidRPr="005514CE">
        <w:rPr>
          <w:rFonts w:ascii="Arial Narrow" w:hAnsi="Arial Narrow"/>
        </w:rPr>
        <w:t xml:space="preserve"> 143 million. Savings will be identified from the E</w:t>
      </w:r>
      <w:r w:rsidRPr="005514CE">
        <w:rPr>
          <w:rFonts w:ascii="Arial Narrow" w:hAnsi="Arial Narrow"/>
        </w:rPr>
        <w:t>mployee-related costs to</w:t>
      </w:r>
      <w:r w:rsidR="00DB164D" w:rsidRPr="005514CE">
        <w:rPr>
          <w:rFonts w:ascii="Arial Narrow" w:hAnsi="Arial Narrow"/>
        </w:rPr>
        <w:t xml:space="preserve"> cover the over- expenditure.</w:t>
      </w:r>
    </w:p>
    <w:p w:rsidR="00CA13F5" w:rsidRPr="00BF0B5C" w:rsidRDefault="00650136" w:rsidP="00040D51">
      <w:pPr>
        <w:pStyle w:val="NoSpacing"/>
        <w:spacing w:before="240" w:line="360" w:lineRule="auto"/>
        <w:rPr>
          <w:rFonts w:ascii="Arial Narrow" w:hAnsi="Arial Narrow"/>
        </w:rPr>
      </w:pPr>
      <w:r w:rsidRPr="00BF0B5C">
        <w:rPr>
          <w:rFonts w:ascii="Arial Narrow" w:hAnsi="Arial Narrow"/>
        </w:rPr>
        <w:t>Coun</w:t>
      </w:r>
      <w:r w:rsidR="00DB164D">
        <w:rPr>
          <w:rFonts w:ascii="Arial Narrow" w:hAnsi="Arial Narrow"/>
        </w:rPr>
        <w:t>cillor remuneration amounts to R4</w:t>
      </w:r>
      <w:r w:rsidR="001B4477">
        <w:rPr>
          <w:rFonts w:ascii="Arial Narrow" w:hAnsi="Arial Narrow"/>
        </w:rPr>
        <w:t>,</w:t>
      </w:r>
      <w:r w:rsidR="00DB164D">
        <w:rPr>
          <w:rFonts w:ascii="Arial Narrow" w:hAnsi="Arial Narrow"/>
        </w:rPr>
        <w:t xml:space="preserve"> 241 million which is 44</w:t>
      </w:r>
      <w:r w:rsidR="00464677" w:rsidRPr="00BF0B5C">
        <w:rPr>
          <w:rFonts w:ascii="Arial Narrow" w:hAnsi="Arial Narrow"/>
        </w:rPr>
        <w:t>% o</w:t>
      </w:r>
      <w:r w:rsidR="00FA02A8">
        <w:rPr>
          <w:rFonts w:ascii="Arial Narrow" w:hAnsi="Arial Narrow"/>
        </w:rPr>
        <w:t>f the budget</w:t>
      </w:r>
      <w:proofErr w:type="gramStart"/>
      <w:r w:rsidR="00FA02A8">
        <w:rPr>
          <w:rFonts w:ascii="Arial Narrow" w:hAnsi="Arial Narrow"/>
        </w:rPr>
        <w:t>.</w:t>
      </w:r>
      <w:r w:rsidR="00464677" w:rsidRPr="00BF0B5C">
        <w:rPr>
          <w:rFonts w:ascii="Arial Narrow" w:hAnsi="Arial Narrow"/>
        </w:rPr>
        <w:t>.</w:t>
      </w:r>
      <w:proofErr w:type="gramEnd"/>
    </w:p>
    <w:p w:rsidR="005B0A47" w:rsidRPr="00BF0B5C" w:rsidRDefault="006805AA" w:rsidP="00040D51">
      <w:pPr>
        <w:pStyle w:val="NoSpacing"/>
        <w:spacing w:before="240" w:line="360" w:lineRule="auto"/>
        <w:rPr>
          <w:rFonts w:ascii="Arial Narrow" w:hAnsi="Arial Narrow"/>
        </w:rPr>
      </w:pPr>
      <w:r w:rsidRPr="00BF0B5C">
        <w:rPr>
          <w:rFonts w:ascii="Arial Narrow" w:hAnsi="Arial Narrow"/>
        </w:rPr>
        <w:t>The council</w:t>
      </w:r>
      <w:r w:rsidR="00F73475">
        <w:rPr>
          <w:rFonts w:ascii="Arial Narrow" w:hAnsi="Arial Narrow"/>
        </w:rPr>
        <w:t xml:space="preserve"> l</w:t>
      </w:r>
      <w:r w:rsidRPr="00BF0B5C">
        <w:rPr>
          <w:rFonts w:ascii="Arial Narrow" w:hAnsi="Arial Narrow"/>
        </w:rPr>
        <w:t xml:space="preserve">ook a decision to </w:t>
      </w:r>
      <w:r w:rsidR="005B0A47" w:rsidRPr="00BF0B5C">
        <w:rPr>
          <w:rFonts w:ascii="Arial Narrow" w:hAnsi="Arial Narrow"/>
        </w:rPr>
        <w:t>prioritis</w:t>
      </w:r>
      <w:r w:rsidRPr="00BF0B5C">
        <w:rPr>
          <w:rFonts w:ascii="Arial Narrow" w:hAnsi="Arial Narrow"/>
        </w:rPr>
        <w:t xml:space="preserve">e the </w:t>
      </w:r>
      <w:r w:rsidR="005B0A47" w:rsidRPr="00BF0B5C">
        <w:rPr>
          <w:rFonts w:ascii="Arial Narrow" w:hAnsi="Arial Narrow"/>
        </w:rPr>
        <w:t xml:space="preserve">filling </w:t>
      </w:r>
      <w:r w:rsidRPr="00BF0B5C">
        <w:rPr>
          <w:rFonts w:ascii="Arial Narrow" w:hAnsi="Arial Narrow"/>
        </w:rPr>
        <w:t xml:space="preserve">of </w:t>
      </w:r>
      <w:r w:rsidR="005B0A47" w:rsidRPr="00BF0B5C">
        <w:rPr>
          <w:rFonts w:ascii="Arial Narrow" w:hAnsi="Arial Narrow"/>
        </w:rPr>
        <w:t>funded</w:t>
      </w:r>
      <w:r w:rsidRPr="00BF0B5C">
        <w:rPr>
          <w:rFonts w:ascii="Arial Narrow" w:hAnsi="Arial Narrow"/>
        </w:rPr>
        <w:t xml:space="preserve"> vacancies. O</w:t>
      </w:r>
      <w:r w:rsidR="005B0A47" w:rsidRPr="00BF0B5C">
        <w:rPr>
          <w:rFonts w:ascii="Arial Narrow" w:hAnsi="Arial Narrow"/>
        </w:rPr>
        <w:t xml:space="preserve">vertime </w:t>
      </w:r>
      <w:r w:rsidRPr="00BF0B5C">
        <w:rPr>
          <w:rFonts w:ascii="Arial Narrow" w:hAnsi="Arial Narrow"/>
        </w:rPr>
        <w:t>costs are</w:t>
      </w:r>
      <w:r w:rsidR="005B0A47" w:rsidRPr="00BF0B5C">
        <w:rPr>
          <w:rFonts w:ascii="Arial Narrow" w:hAnsi="Arial Narrow"/>
        </w:rPr>
        <w:t xml:space="preserve"> </w:t>
      </w:r>
      <w:r w:rsidR="007B41FD" w:rsidRPr="00BF0B5C">
        <w:rPr>
          <w:rFonts w:ascii="Arial Narrow" w:hAnsi="Arial Narrow"/>
        </w:rPr>
        <w:t xml:space="preserve">therefore </w:t>
      </w:r>
      <w:r w:rsidR="005B0A47" w:rsidRPr="00BF0B5C">
        <w:rPr>
          <w:rFonts w:ascii="Arial Narrow" w:hAnsi="Arial Narrow"/>
        </w:rPr>
        <w:t>anticipated to drop in the next 6 months</w:t>
      </w:r>
      <w:r w:rsidR="00CD63B8" w:rsidRPr="00BF0B5C">
        <w:rPr>
          <w:rFonts w:ascii="Arial Narrow" w:hAnsi="Arial Narrow"/>
        </w:rPr>
        <w:t>.</w:t>
      </w:r>
      <w:r w:rsidR="005B0A47" w:rsidRPr="00BF0B5C">
        <w:rPr>
          <w:rFonts w:ascii="Arial Narrow" w:hAnsi="Arial Narrow"/>
        </w:rPr>
        <w:t xml:space="preserve"> </w:t>
      </w:r>
    </w:p>
    <w:p w:rsidR="00DD287E" w:rsidRPr="00BF0B5C" w:rsidRDefault="00DD287E" w:rsidP="00040D51">
      <w:pPr>
        <w:spacing w:before="240" w:line="360" w:lineRule="auto"/>
        <w:rPr>
          <w:rFonts w:ascii="Arial Narrow" w:hAnsi="Arial Narrow" w:cs="Calibri"/>
        </w:rPr>
      </w:pPr>
      <w:r w:rsidRPr="00BF0B5C">
        <w:rPr>
          <w:rFonts w:ascii="Arial Narrow" w:hAnsi="Arial Narrow" w:cs="Calibri"/>
        </w:rPr>
        <w:t>The vacant positions for which budget is available will be filled in the second half of the financial year.</w:t>
      </w:r>
      <w:r w:rsidR="00DD74C4" w:rsidRPr="00BF0B5C">
        <w:rPr>
          <w:rFonts w:ascii="Arial Narrow" w:hAnsi="Arial Narrow" w:cs="Calibri"/>
        </w:rPr>
        <w:t xml:space="preserve"> </w:t>
      </w:r>
      <w:r w:rsidR="007B41FD" w:rsidRPr="00BF0B5C">
        <w:rPr>
          <w:rFonts w:ascii="Arial Narrow" w:hAnsi="Arial Narrow" w:cs="Calibri"/>
        </w:rPr>
        <w:t>Advertisement of critical posts and interviews</w:t>
      </w:r>
      <w:r w:rsidR="00AB1EF9" w:rsidRPr="00BF0B5C">
        <w:rPr>
          <w:rFonts w:ascii="Arial Narrow" w:hAnsi="Arial Narrow" w:cs="Calibri"/>
        </w:rPr>
        <w:t xml:space="preserve"> have</w:t>
      </w:r>
      <w:r w:rsidR="00FA02A8">
        <w:rPr>
          <w:rFonts w:ascii="Arial Narrow" w:hAnsi="Arial Narrow" w:cs="Calibri"/>
        </w:rPr>
        <w:t xml:space="preserve"> commenced and should reduce the</w:t>
      </w:r>
      <w:r w:rsidR="00F16DE8" w:rsidRPr="00BF0B5C">
        <w:rPr>
          <w:rFonts w:ascii="Arial Narrow" w:hAnsi="Arial Narrow" w:cs="Calibri"/>
        </w:rPr>
        <w:t xml:space="preserve"> negative impact on service delivery.</w:t>
      </w:r>
    </w:p>
    <w:p w:rsidR="00F73475" w:rsidRDefault="00F73475" w:rsidP="009001E2">
      <w:pPr>
        <w:pStyle w:val="NoSpacing"/>
        <w:spacing w:before="240" w:line="360" w:lineRule="auto"/>
        <w:rPr>
          <w:rFonts w:ascii="Arial Narrow" w:hAnsi="Arial Narrow"/>
        </w:rPr>
      </w:pPr>
      <w:r>
        <w:rPr>
          <w:rFonts w:ascii="Arial Narrow" w:hAnsi="Arial Narrow"/>
        </w:rPr>
        <w:lastRenderedPageBreak/>
        <w:t xml:space="preserve">Maintenance Budget and Internal funded capital projects </w:t>
      </w:r>
      <w:r w:rsidR="005B0A47" w:rsidRPr="00BF0B5C">
        <w:rPr>
          <w:rFonts w:ascii="Arial Narrow" w:hAnsi="Arial Narrow"/>
        </w:rPr>
        <w:t xml:space="preserve">budget </w:t>
      </w:r>
      <w:r>
        <w:rPr>
          <w:rFonts w:ascii="Arial Narrow" w:hAnsi="Arial Narrow"/>
        </w:rPr>
        <w:t xml:space="preserve">must be reduced </w:t>
      </w:r>
      <w:r w:rsidR="00FA02A8">
        <w:rPr>
          <w:rFonts w:ascii="Arial Narrow" w:hAnsi="Arial Narrow"/>
        </w:rPr>
        <w:t>as the municipality</w:t>
      </w:r>
      <w:r>
        <w:rPr>
          <w:rFonts w:ascii="Arial Narrow" w:hAnsi="Arial Narrow"/>
        </w:rPr>
        <w:t xml:space="preserve"> needs to accommodate the over expenditure of the following line items:</w:t>
      </w:r>
    </w:p>
    <w:p w:rsidR="00F73475" w:rsidRPr="00F73475" w:rsidRDefault="00F73475" w:rsidP="00FE3795">
      <w:pPr>
        <w:pStyle w:val="NoSpacing"/>
        <w:numPr>
          <w:ilvl w:val="0"/>
          <w:numId w:val="14"/>
        </w:numPr>
        <w:rPr>
          <w:rFonts w:ascii="Arial Narrow" w:hAnsi="Arial Narrow"/>
        </w:rPr>
      </w:pPr>
      <w:r w:rsidRPr="00F73475">
        <w:rPr>
          <w:rFonts w:ascii="Arial Narrow" w:hAnsi="Arial Narrow"/>
        </w:rPr>
        <w:t>Legal Fees: R13 544 236.56</w:t>
      </w:r>
    </w:p>
    <w:p w:rsidR="00F73475" w:rsidRPr="00F73475" w:rsidRDefault="00F73475" w:rsidP="00FE3795">
      <w:pPr>
        <w:pStyle w:val="NoSpacing"/>
        <w:numPr>
          <w:ilvl w:val="0"/>
          <w:numId w:val="14"/>
        </w:numPr>
        <w:rPr>
          <w:rFonts w:ascii="Arial Narrow" w:hAnsi="Arial Narrow"/>
        </w:rPr>
      </w:pPr>
      <w:r w:rsidRPr="00F73475">
        <w:rPr>
          <w:rFonts w:ascii="Arial Narrow" w:hAnsi="Arial Narrow"/>
        </w:rPr>
        <w:t>Contracted Services: R4 500 000</w:t>
      </w:r>
    </w:p>
    <w:p w:rsidR="00F73475" w:rsidRDefault="00F73475" w:rsidP="00FE3795">
      <w:pPr>
        <w:pStyle w:val="NoSpacing"/>
        <w:numPr>
          <w:ilvl w:val="0"/>
          <w:numId w:val="14"/>
        </w:numPr>
        <w:rPr>
          <w:rFonts w:ascii="Arial Narrow" w:hAnsi="Arial Narrow"/>
        </w:rPr>
      </w:pPr>
      <w:r w:rsidRPr="00F73475">
        <w:rPr>
          <w:rFonts w:ascii="Arial Narrow" w:hAnsi="Arial Narrow"/>
        </w:rPr>
        <w:t>Interest Paid: R783 870</w:t>
      </w:r>
    </w:p>
    <w:p w:rsidR="001B4477" w:rsidRDefault="001B4477" w:rsidP="001B4477">
      <w:pPr>
        <w:pStyle w:val="NoSpacing"/>
        <w:ind w:left="720"/>
        <w:rPr>
          <w:rFonts w:ascii="Arial Narrow" w:hAnsi="Arial Narrow"/>
        </w:rPr>
      </w:pPr>
    </w:p>
    <w:p w:rsidR="001B4477" w:rsidRDefault="001B4477" w:rsidP="001B4477">
      <w:pPr>
        <w:pStyle w:val="NoSpacing"/>
        <w:rPr>
          <w:rFonts w:ascii="Arial Narrow" w:hAnsi="Arial Narrow"/>
        </w:rPr>
      </w:pPr>
      <w:r w:rsidRPr="00BF0B5C">
        <w:rPr>
          <w:rFonts w:ascii="Arial Narrow" w:hAnsi="Arial Narrow" w:cs="Calibri"/>
        </w:rPr>
        <w:t>The adjustment budget will address over- or under-spending within votes, as well as changes to government transfers</w:t>
      </w:r>
    </w:p>
    <w:p w:rsidR="001B4477" w:rsidRDefault="001B4477" w:rsidP="001B4477">
      <w:pPr>
        <w:pStyle w:val="NoSpacing"/>
        <w:spacing w:before="240" w:line="360" w:lineRule="auto"/>
        <w:rPr>
          <w:rFonts w:ascii="Arial Narrow" w:hAnsi="Arial Narrow"/>
        </w:rPr>
      </w:pPr>
      <w:r>
        <w:rPr>
          <w:rFonts w:ascii="Arial Narrow" w:hAnsi="Arial Narrow"/>
        </w:rPr>
        <w:t>Implementation of</w:t>
      </w:r>
      <w:r w:rsidRPr="001B4477">
        <w:rPr>
          <w:rFonts w:ascii="Arial Narrow" w:hAnsi="Arial Narrow"/>
        </w:rPr>
        <w:t xml:space="preserve"> </w:t>
      </w:r>
      <w:r w:rsidRPr="00BF0B5C">
        <w:rPr>
          <w:rFonts w:ascii="Arial Narrow" w:hAnsi="Arial Narrow"/>
        </w:rPr>
        <w:t>cost-containment measures</w:t>
      </w:r>
      <w:r>
        <w:rPr>
          <w:rFonts w:ascii="Arial Narrow" w:hAnsi="Arial Narrow"/>
        </w:rPr>
        <w:t xml:space="preserve"> has become one of the effective tool</w:t>
      </w:r>
      <w:r w:rsidR="00FA02A8">
        <w:rPr>
          <w:rFonts w:ascii="Arial Narrow" w:hAnsi="Arial Narrow"/>
        </w:rPr>
        <w:t>s</w:t>
      </w:r>
      <w:r>
        <w:rPr>
          <w:rFonts w:ascii="Arial Narrow" w:hAnsi="Arial Narrow"/>
        </w:rPr>
        <w:t>.</w:t>
      </w:r>
      <w:r w:rsidRPr="00BF0B5C">
        <w:rPr>
          <w:rFonts w:ascii="Arial Narrow" w:hAnsi="Arial Narrow"/>
        </w:rPr>
        <w:t xml:space="preserve"> </w:t>
      </w:r>
      <w:r>
        <w:rPr>
          <w:rFonts w:ascii="Arial Narrow" w:hAnsi="Arial Narrow"/>
        </w:rPr>
        <w:t xml:space="preserve">‘Other Expenditure’ </w:t>
      </w:r>
      <w:proofErr w:type="gramStart"/>
      <w:r w:rsidR="00FA02A8">
        <w:rPr>
          <w:rFonts w:ascii="Arial Narrow" w:hAnsi="Arial Narrow"/>
        </w:rPr>
        <w:t xml:space="preserve">of  </w:t>
      </w:r>
      <w:r>
        <w:rPr>
          <w:rFonts w:ascii="Arial Narrow" w:hAnsi="Arial Narrow"/>
        </w:rPr>
        <w:t>R35</w:t>
      </w:r>
      <w:proofErr w:type="gramEnd"/>
      <w:r>
        <w:rPr>
          <w:rFonts w:ascii="Arial Narrow" w:hAnsi="Arial Narrow"/>
        </w:rPr>
        <w:t xml:space="preserve">, 849 </w:t>
      </w:r>
      <w:r w:rsidR="00FA02A8">
        <w:rPr>
          <w:rFonts w:ascii="Arial Narrow" w:hAnsi="Arial Narrow"/>
        </w:rPr>
        <w:t xml:space="preserve">is low </w:t>
      </w:r>
      <w:r>
        <w:rPr>
          <w:rFonts w:ascii="Arial Narrow" w:hAnsi="Arial Narrow"/>
        </w:rPr>
        <w:t>compared to the last financial year’s report.</w:t>
      </w:r>
    </w:p>
    <w:p w:rsidR="008C0101" w:rsidRDefault="00FE3795" w:rsidP="00F64A2D">
      <w:pPr>
        <w:spacing w:before="240" w:line="360" w:lineRule="auto"/>
        <w:rPr>
          <w:rFonts w:ascii="Arial Narrow" w:hAnsi="Arial Narrow" w:cs="Calibri"/>
          <w:b/>
        </w:rPr>
      </w:pPr>
      <w:r w:rsidRPr="00FE3795">
        <w:rPr>
          <w:rFonts w:ascii="Arial Narrow" w:hAnsi="Arial Narrow" w:cs="Calibri"/>
          <w:b/>
        </w:rPr>
        <w:t>3.3</w:t>
      </w:r>
      <w:r>
        <w:rPr>
          <w:rFonts w:ascii="Arial Narrow" w:hAnsi="Arial Narrow" w:cs="Calibri"/>
        </w:rPr>
        <w:t xml:space="preserve"> </w:t>
      </w:r>
      <w:r w:rsidR="008C0101" w:rsidRPr="00BF0B5C">
        <w:rPr>
          <w:rFonts w:ascii="Arial Narrow" w:hAnsi="Arial Narrow" w:cs="Calibri"/>
          <w:b/>
        </w:rPr>
        <w:t>CAPITAL BUDGET</w:t>
      </w:r>
    </w:p>
    <w:p w:rsidR="00FE3795" w:rsidRPr="00BF0B5C" w:rsidRDefault="003F6B35" w:rsidP="00F64A2D">
      <w:pPr>
        <w:spacing w:before="240" w:line="360" w:lineRule="auto"/>
        <w:rPr>
          <w:rFonts w:ascii="Arial Narrow" w:hAnsi="Arial Narrow" w:cs="Calibri"/>
          <w:b/>
        </w:rPr>
      </w:pPr>
      <w:r w:rsidRPr="003F6B35">
        <w:rPr>
          <w:noProof/>
        </w:rPr>
        <w:drawing>
          <wp:inline distT="0" distB="0" distL="0" distR="0">
            <wp:extent cx="5572125" cy="4638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2125" cy="4638675"/>
                    </a:xfrm>
                    <a:prstGeom prst="rect">
                      <a:avLst/>
                    </a:prstGeom>
                    <a:noFill/>
                    <a:ln>
                      <a:noFill/>
                    </a:ln>
                  </pic:spPr>
                </pic:pic>
              </a:graphicData>
            </a:graphic>
          </wp:inline>
        </w:drawing>
      </w:r>
    </w:p>
    <w:p w:rsidR="008C0101" w:rsidRPr="00A626B3" w:rsidRDefault="00F52A0D" w:rsidP="00A626B3">
      <w:pPr>
        <w:pStyle w:val="NoSpacing"/>
        <w:rPr>
          <w:rFonts w:ascii="Arial Narrow" w:hAnsi="Arial Narrow"/>
        </w:rPr>
      </w:pPr>
      <w:r w:rsidRPr="00A626B3">
        <w:rPr>
          <w:rFonts w:ascii="Arial Narrow" w:hAnsi="Arial Narrow"/>
        </w:rPr>
        <w:t>Capital Projects of R191, 857 were funded internally and externally</w:t>
      </w:r>
      <w:r w:rsidR="00143EF1" w:rsidRPr="00A626B3">
        <w:rPr>
          <w:rFonts w:ascii="Arial Narrow" w:hAnsi="Arial Narrow"/>
        </w:rPr>
        <w:t xml:space="preserve"> </w:t>
      </w:r>
      <w:r w:rsidRPr="00A626B3">
        <w:rPr>
          <w:rFonts w:ascii="Arial Narrow" w:hAnsi="Arial Narrow"/>
        </w:rPr>
        <w:t>.</w:t>
      </w:r>
      <w:r w:rsidR="008C0101" w:rsidRPr="00A626B3">
        <w:rPr>
          <w:rFonts w:ascii="Arial Narrow" w:hAnsi="Arial Narrow"/>
        </w:rPr>
        <w:t>The municipality’s total capital expenditure for the first six months was R</w:t>
      </w:r>
      <w:r w:rsidRPr="00A626B3">
        <w:rPr>
          <w:rFonts w:ascii="Arial Narrow" w:hAnsi="Arial Narrow"/>
        </w:rPr>
        <w:t>49</w:t>
      </w:r>
      <w:r w:rsidR="00EC234C" w:rsidRPr="00A626B3">
        <w:rPr>
          <w:rFonts w:ascii="Arial Narrow" w:hAnsi="Arial Narrow"/>
        </w:rPr>
        <w:t>, 090</w:t>
      </w:r>
      <w:r w:rsidRPr="00A626B3">
        <w:rPr>
          <w:rFonts w:ascii="Arial Narrow" w:hAnsi="Arial Narrow"/>
        </w:rPr>
        <w:t xml:space="preserve"> </w:t>
      </w:r>
      <w:r w:rsidR="008C0101" w:rsidRPr="00A626B3">
        <w:rPr>
          <w:rFonts w:ascii="Arial Narrow" w:hAnsi="Arial Narrow"/>
        </w:rPr>
        <w:t xml:space="preserve">million, which is </w:t>
      </w:r>
      <w:r w:rsidRPr="00A626B3">
        <w:rPr>
          <w:rFonts w:ascii="Arial Narrow" w:hAnsi="Arial Narrow"/>
        </w:rPr>
        <w:t>26 %</w:t>
      </w:r>
      <w:r w:rsidR="008C0101" w:rsidRPr="00A626B3">
        <w:rPr>
          <w:rFonts w:ascii="Arial Narrow" w:hAnsi="Arial Narrow"/>
        </w:rPr>
        <w:t xml:space="preserve"> of the annual budget</w:t>
      </w:r>
      <w:r w:rsidR="005A6481" w:rsidRPr="00A626B3">
        <w:rPr>
          <w:rFonts w:ascii="Arial Narrow" w:hAnsi="Arial Narrow"/>
        </w:rPr>
        <w:t>.</w:t>
      </w:r>
      <w:r w:rsidR="008C0101" w:rsidRPr="00A626B3">
        <w:rPr>
          <w:rFonts w:ascii="Arial Narrow" w:hAnsi="Arial Narrow"/>
        </w:rPr>
        <w:t xml:space="preserve"> </w:t>
      </w:r>
    </w:p>
    <w:p w:rsidR="005A6481" w:rsidRDefault="00BE4925" w:rsidP="00BE4925">
      <w:pPr>
        <w:pStyle w:val="NoSpacing"/>
        <w:spacing w:before="240"/>
        <w:rPr>
          <w:rFonts w:ascii="Arial Narrow" w:hAnsi="Arial Narrow"/>
        </w:rPr>
      </w:pPr>
      <w:r w:rsidRPr="00BF0B5C">
        <w:rPr>
          <w:rFonts w:ascii="Arial Narrow" w:hAnsi="Arial Narrow"/>
        </w:rPr>
        <w:t>R</w:t>
      </w:r>
      <w:r w:rsidR="005A6481" w:rsidRPr="00BF0B5C">
        <w:rPr>
          <w:rFonts w:ascii="Arial Narrow" w:hAnsi="Arial Narrow"/>
        </w:rPr>
        <w:t>easons as to why the actual spending is below the budget</w:t>
      </w:r>
      <w:r w:rsidRPr="00BF0B5C">
        <w:rPr>
          <w:rFonts w:ascii="Arial Narrow" w:hAnsi="Arial Narrow"/>
        </w:rPr>
        <w:t>ed</w:t>
      </w:r>
      <w:r w:rsidR="005A6481" w:rsidRPr="00BF0B5C">
        <w:rPr>
          <w:rFonts w:ascii="Arial Narrow" w:hAnsi="Arial Narrow"/>
        </w:rPr>
        <w:t xml:space="preserve"> expenditure can be attributed as follows:</w:t>
      </w:r>
    </w:p>
    <w:p w:rsidR="00F52A0D" w:rsidRPr="00BF0B5C" w:rsidRDefault="00F52A0D" w:rsidP="00BE4925">
      <w:pPr>
        <w:pStyle w:val="NoSpacing"/>
        <w:spacing w:before="240"/>
        <w:rPr>
          <w:rFonts w:ascii="Arial Narrow" w:hAnsi="Arial Narrow"/>
        </w:rPr>
      </w:pPr>
    </w:p>
    <w:p w:rsidR="005A6481" w:rsidRPr="00F52A0D" w:rsidRDefault="00F52A0D" w:rsidP="00FE3795">
      <w:pPr>
        <w:pStyle w:val="NoSpacing"/>
        <w:numPr>
          <w:ilvl w:val="0"/>
          <w:numId w:val="15"/>
        </w:numPr>
        <w:rPr>
          <w:rFonts w:ascii="Arial Narrow" w:hAnsi="Arial Narrow"/>
        </w:rPr>
      </w:pPr>
      <w:r w:rsidRPr="00F52A0D">
        <w:rPr>
          <w:rFonts w:ascii="Arial Narrow" w:hAnsi="Arial Narrow"/>
        </w:rPr>
        <w:t xml:space="preserve">Capital Projects of R12, 082 which were funded internally are </w:t>
      </w:r>
      <w:r w:rsidR="00FA02A8">
        <w:rPr>
          <w:rFonts w:ascii="Arial Narrow" w:hAnsi="Arial Narrow"/>
        </w:rPr>
        <w:t>still in the procurement</w:t>
      </w:r>
      <w:r w:rsidRPr="00F52A0D">
        <w:rPr>
          <w:rFonts w:ascii="Arial Narrow" w:hAnsi="Arial Narrow"/>
        </w:rPr>
        <w:t xml:space="preserve"> stage</w:t>
      </w:r>
    </w:p>
    <w:p w:rsidR="005A6481" w:rsidRPr="00F52A0D" w:rsidRDefault="00F52A0D" w:rsidP="00FE3795">
      <w:pPr>
        <w:pStyle w:val="NoSpacing"/>
        <w:numPr>
          <w:ilvl w:val="0"/>
          <w:numId w:val="15"/>
        </w:numPr>
        <w:rPr>
          <w:rFonts w:ascii="Arial Narrow" w:hAnsi="Arial Narrow"/>
        </w:rPr>
      </w:pPr>
      <w:r w:rsidRPr="00F52A0D">
        <w:rPr>
          <w:rFonts w:ascii="Arial Narrow" w:hAnsi="Arial Narrow"/>
        </w:rPr>
        <w:lastRenderedPageBreak/>
        <w:t xml:space="preserve">Adjusting of Gazette for MIG funding. Allocation for MIG project is transferred to the Sarah </w:t>
      </w:r>
      <w:proofErr w:type="spellStart"/>
      <w:r w:rsidRPr="00F52A0D">
        <w:rPr>
          <w:rFonts w:ascii="Arial Narrow" w:hAnsi="Arial Narrow"/>
        </w:rPr>
        <w:t>Baartman</w:t>
      </w:r>
      <w:proofErr w:type="spellEnd"/>
      <w:r w:rsidRPr="00F52A0D">
        <w:rPr>
          <w:rFonts w:ascii="Arial Narrow" w:hAnsi="Arial Narrow"/>
        </w:rPr>
        <w:t xml:space="preserve"> District Municipality.</w:t>
      </w:r>
    </w:p>
    <w:p w:rsidR="005A6481" w:rsidRPr="00F52A0D" w:rsidRDefault="005A6481" w:rsidP="00FE3795">
      <w:pPr>
        <w:pStyle w:val="NoSpacing"/>
        <w:numPr>
          <w:ilvl w:val="0"/>
          <w:numId w:val="15"/>
        </w:numPr>
        <w:rPr>
          <w:rFonts w:ascii="Arial Narrow" w:hAnsi="Arial Narrow"/>
        </w:rPr>
      </w:pPr>
      <w:r w:rsidRPr="00F52A0D">
        <w:rPr>
          <w:rFonts w:ascii="Arial Narrow" w:hAnsi="Arial Narrow"/>
        </w:rPr>
        <w:t>Poor planning; and</w:t>
      </w:r>
    </w:p>
    <w:p w:rsidR="005A6481" w:rsidRPr="00F52A0D" w:rsidRDefault="005A6481" w:rsidP="00FE3795">
      <w:pPr>
        <w:pStyle w:val="NoSpacing"/>
        <w:numPr>
          <w:ilvl w:val="0"/>
          <w:numId w:val="15"/>
        </w:numPr>
        <w:rPr>
          <w:rFonts w:ascii="Arial Narrow" w:hAnsi="Arial Narrow"/>
        </w:rPr>
      </w:pPr>
      <w:r w:rsidRPr="00F52A0D">
        <w:rPr>
          <w:rFonts w:ascii="Arial Narrow" w:hAnsi="Arial Narrow"/>
        </w:rPr>
        <w:t>In-kind grants that are not transferred directly to municipal</w:t>
      </w:r>
      <w:r w:rsidR="00F52A0D" w:rsidRPr="00F52A0D">
        <w:rPr>
          <w:rFonts w:ascii="Arial Narrow" w:hAnsi="Arial Narrow"/>
        </w:rPr>
        <w:t xml:space="preserve"> bank account e.g. INEP, ECDC,DW’s and RBIG</w:t>
      </w:r>
    </w:p>
    <w:p w:rsidR="003B1742" w:rsidRPr="008E0530" w:rsidRDefault="003B1742" w:rsidP="008E0530">
      <w:pPr>
        <w:pStyle w:val="NoSpacing"/>
        <w:rPr>
          <w:rFonts w:ascii="Arial Narrow" w:hAnsi="Arial Narrow"/>
        </w:rPr>
      </w:pPr>
    </w:p>
    <w:p w:rsidR="008C0101" w:rsidRDefault="00E869C9" w:rsidP="008E0530">
      <w:pPr>
        <w:pStyle w:val="NoSpacing"/>
        <w:rPr>
          <w:rFonts w:ascii="Arial Narrow" w:hAnsi="Arial Narrow"/>
        </w:rPr>
      </w:pPr>
      <w:r w:rsidRPr="008E0530">
        <w:rPr>
          <w:rFonts w:ascii="Arial Narrow" w:hAnsi="Arial Narrow"/>
        </w:rPr>
        <w:t xml:space="preserve">The low spending suggests that there is a possibility of a conditional grants roll-over application. </w:t>
      </w:r>
      <w:r w:rsidR="007B41FD" w:rsidRPr="008E0530">
        <w:rPr>
          <w:rFonts w:ascii="Arial Narrow" w:hAnsi="Arial Narrow"/>
        </w:rPr>
        <w:t>Municipal d</w:t>
      </w:r>
      <w:r w:rsidRPr="008E0530">
        <w:rPr>
          <w:rFonts w:ascii="Arial Narrow" w:hAnsi="Arial Narrow"/>
        </w:rPr>
        <w:t>epartments are encouraged to collate supporting documents and complete reconciliations so that the application reflects accurate information.</w:t>
      </w:r>
    </w:p>
    <w:p w:rsidR="009F1D80" w:rsidRDefault="009F1D80" w:rsidP="008E0530">
      <w:pPr>
        <w:pStyle w:val="NoSpacing"/>
        <w:rPr>
          <w:rFonts w:ascii="Arial Narrow" w:hAnsi="Arial Narrow"/>
        </w:rPr>
      </w:pPr>
    </w:p>
    <w:p w:rsidR="009F1D80" w:rsidRDefault="009F1D80" w:rsidP="008E0530">
      <w:pPr>
        <w:pStyle w:val="NoSpacing"/>
        <w:rPr>
          <w:rFonts w:ascii="Arial Narrow" w:hAnsi="Arial Narrow"/>
        </w:rPr>
      </w:pPr>
    </w:p>
    <w:p w:rsidR="000B162A" w:rsidRPr="00BF0B5C" w:rsidRDefault="000B162A" w:rsidP="000B162A">
      <w:pPr>
        <w:spacing w:line="360" w:lineRule="auto"/>
        <w:rPr>
          <w:rFonts w:ascii="Arial Narrow" w:hAnsi="Arial Narrow" w:cs="Calibri"/>
        </w:rPr>
      </w:pPr>
      <w:r w:rsidRPr="00BF0B5C">
        <w:rPr>
          <w:rFonts w:ascii="Arial Narrow" w:hAnsi="Arial Narrow" w:cs="Calibri"/>
        </w:rPr>
        <w:t>Spending on grants is detailed in the table below:</w:t>
      </w:r>
    </w:p>
    <w:p w:rsidR="00243AD2" w:rsidRPr="00D51798" w:rsidRDefault="00243AD2" w:rsidP="00243AD2">
      <w:pPr>
        <w:autoSpaceDE w:val="0"/>
        <w:autoSpaceDN w:val="0"/>
        <w:adjustRightInd w:val="0"/>
        <w:spacing w:after="0" w:line="240" w:lineRule="auto"/>
        <w:jc w:val="both"/>
        <w:rPr>
          <w:rFonts w:ascii="Arial Narrow" w:hAnsi="Arial Narrow" w:cs="Arial"/>
          <w:b/>
          <w:bCs/>
          <w:sz w:val="24"/>
          <w:szCs w:val="24"/>
        </w:rPr>
      </w:pPr>
    </w:p>
    <w:tbl>
      <w:tblPr>
        <w:tblStyle w:val="TableGrid"/>
        <w:tblW w:w="9214" w:type="dxa"/>
        <w:tblInd w:w="108" w:type="dxa"/>
        <w:tblLook w:val="04A0" w:firstRow="1" w:lastRow="0" w:firstColumn="1" w:lastColumn="0" w:noHBand="0" w:noVBand="1"/>
      </w:tblPr>
      <w:tblGrid>
        <w:gridCol w:w="1530"/>
        <w:gridCol w:w="1925"/>
        <w:gridCol w:w="1833"/>
        <w:gridCol w:w="1923"/>
        <w:gridCol w:w="2003"/>
      </w:tblGrid>
      <w:tr w:rsidR="00243AD2" w:rsidRPr="00D51798" w:rsidTr="00243AD2">
        <w:trPr>
          <w:trHeight w:val="818"/>
        </w:trPr>
        <w:tc>
          <w:tcPr>
            <w:tcW w:w="1530" w:type="dxa"/>
          </w:tcPr>
          <w:p w:rsidR="00243AD2" w:rsidRPr="00D317C5" w:rsidRDefault="00243AD2" w:rsidP="00FA1196">
            <w:pPr>
              <w:autoSpaceDE w:val="0"/>
              <w:autoSpaceDN w:val="0"/>
              <w:adjustRightInd w:val="0"/>
              <w:jc w:val="both"/>
              <w:rPr>
                <w:rFonts w:ascii="Arial Narrow" w:hAnsi="Arial Narrow" w:cs="Arial"/>
                <w:b/>
                <w:bCs/>
                <w:color w:val="000000" w:themeColor="text1"/>
                <w:sz w:val="20"/>
                <w:szCs w:val="20"/>
              </w:rPr>
            </w:pPr>
            <w:r w:rsidRPr="00D317C5">
              <w:rPr>
                <w:rFonts w:ascii="Arial Narrow" w:hAnsi="Arial Narrow" w:cs="Arial"/>
                <w:b/>
                <w:bCs/>
                <w:color w:val="000000" w:themeColor="text1"/>
                <w:sz w:val="20"/>
                <w:szCs w:val="20"/>
              </w:rPr>
              <w:t>GRANT</w:t>
            </w:r>
          </w:p>
        </w:tc>
        <w:tc>
          <w:tcPr>
            <w:tcW w:w="1925" w:type="dxa"/>
          </w:tcPr>
          <w:p w:rsidR="00243AD2" w:rsidRPr="00D317C5" w:rsidRDefault="00243AD2" w:rsidP="00FA1196">
            <w:pPr>
              <w:autoSpaceDE w:val="0"/>
              <w:autoSpaceDN w:val="0"/>
              <w:adjustRightInd w:val="0"/>
              <w:jc w:val="both"/>
              <w:rPr>
                <w:rFonts w:ascii="Arial Narrow" w:hAnsi="Arial Narrow" w:cs="Arial"/>
                <w:b/>
                <w:bCs/>
                <w:color w:val="000000" w:themeColor="text1"/>
                <w:sz w:val="20"/>
                <w:szCs w:val="20"/>
              </w:rPr>
            </w:pPr>
            <w:r w:rsidRPr="00D317C5">
              <w:rPr>
                <w:rFonts w:ascii="Arial Narrow" w:hAnsi="Arial Narrow" w:cs="Arial"/>
                <w:b/>
                <w:bCs/>
                <w:color w:val="000000" w:themeColor="text1"/>
                <w:sz w:val="20"/>
                <w:szCs w:val="20"/>
              </w:rPr>
              <w:t>BUDGET</w:t>
            </w:r>
          </w:p>
        </w:tc>
        <w:tc>
          <w:tcPr>
            <w:tcW w:w="1833" w:type="dxa"/>
          </w:tcPr>
          <w:p w:rsidR="00243AD2" w:rsidRPr="00D317C5" w:rsidRDefault="00243AD2" w:rsidP="00FA1196">
            <w:pPr>
              <w:autoSpaceDE w:val="0"/>
              <w:autoSpaceDN w:val="0"/>
              <w:adjustRightInd w:val="0"/>
              <w:jc w:val="both"/>
              <w:rPr>
                <w:rFonts w:ascii="Arial Narrow" w:hAnsi="Arial Narrow" w:cs="Arial"/>
                <w:b/>
                <w:bCs/>
                <w:color w:val="000000" w:themeColor="text1"/>
                <w:sz w:val="20"/>
                <w:szCs w:val="20"/>
              </w:rPr>
            </w:pPr>
            <w:r w:rsidRPr="00D317C5">
              <w:rPr>
                <w:rFonts w:ascii="Arial Narrow" w:hAnsi="Arial Narrow" w:cs="Arial"/>
                <w:b/>
                <w:bCs/>
                <w:color w:val="000000" w:themeColor="text1"/>
                <w:sz w:val="20"/>
                <w:szCs w:val="20"/>
              </w:rPr>
              <w:t>AMOUNT RECEIVED TO DATE</w:t>
            </w:r>
          </w:p>
        </w:tc>
        <w:tc>
          <w:tcPr>
            <w:tcW w:w="1923" w:type="dxa"/>
          </w:tcPr>
          <w:p w:rsidR="00243AD2" w:rsidRPr="00D317C5" w:rsidRDefault="00243AD2" w:rsidP="00FA1196">
            <w:pPr>
              <w:autoSpaceDE w:val="0"/>
              <w:autoSpaceDN w:val="0"/>
              <w:adjustRightInd w:val="0"/>
              <w:jc w:val="both"/>
              <w:rPr>
                <w:rFonts w:ascii="Arial Narrow" w:hAnsi="Arial Narrow" w:cs="Arial"/>
                <w:b/>
                <w:bCs/>
                <w:color w:val="000000" w:themeColor="text1"/>
                <w:sz w:val="20"/>
                <w:szCs w:val="20"/>
              </w:rPr>
            </w:pPr>
            <w:r w:rsidRPr="00D317C5">
              <w:rPr>
                <w:rFonts w:ascii="Arial Narrow" w:hAnsi="Arial Narrow" w:cs="Arial"/>
                <w:b/>
                <w:bCs/>
                <w:color w:val="000000" w:themeColor="text1"/>
                <w:sz w:val="20"/>
                <w:szCs w:val="20"/>
              </w:rPr>
              <w:t>EXPENDITURE IN DECEMBER</w:t>
            </w:r>
          </w:p>
        </w:tc>
        <w:tc>
          <w:tcPr>
            <w:tcW w:w="2003" w:type="dxa"/>
          </w:tcPr>
          <w:p w:rsidR="00243AD2" w:rsidRPr="00D317C5" w:rsidRDefault="00243AD2" w:rsidP="00FA1196">
            <w:pPr>
              <w:autoSpaceDE w:val="0"/>
              <w:autoSpaceDN w:val="0"/>
              <w:adjustRightInd w:val="0"/>
              <w:jc w:val="both"/>
              <w:rPr>
                <w:rFonts w:ascii="Arial Narrow" w:hAnsi="Arial Narrow" w:cs="Arial"/>
                <w:b/>
                <w:bCs/>
                <w:color w:val="000000" w:themeColor="text1"/>
                <w:sz w:val="20"/>
                <w:szCs w:val="20"/>
              </w:rPr>
            </w:pPr>
            <w:r w:rsidRPr="00D317C5">
              <w:rPr>
                <w:rFonts w:ascii="Arial Narrow" w:hAnsi="Arial Narrow" w:cs="Arial"/>
                <w:b/>
                <w:bCs/>
                <w:color w:val="000000" w:themeColor="text1"/>
                <w:sz w:val="20"/>
                <w:szCs w:val="20"/>
              </w:rPr>
              <w:t>EXPENDITURE</w:t>
            </w:r>
          </w:p>
          <w:p w:rsidR="00243AD2" w:rsidRPr="00D317C5" w:rsidRDefault="00243AD2" w:rsidP="00FA1196">
            <w:pPr>
              <w:autoSpaceDE w:val="0"/>
              <w:autoSpaceDN w:val="0"/>
              <w:adjustRightInd w:val="0"/>
              <w:jc w:val="both"/>
              <w:rPr>
                <w:rFonts w:ascii="Arial Narrow" w:hAnsi="Arial Narrow" w:cs="Arial"/>
                <w:b/>
                <w:bCs/>
                <w:color w:val="000000" w:themeColor="text1"/>
                <w:sz w:val="20"/>
                <w:szCs w:val="20"/>
              </w:rPr>
            </w:pPr>
            <w:r w:rsidRPr="00D317C5">
              <w:rPr>
                <w:rFonts w:ascii="Arial Narrow" w:hAnsi="Arial Narrow" w:cs="Arial"/>
                <w:b/>
                <w:bCs/>
                <w:color w:val="000000" w:themeColor="text1"/>
                <w:sz w:val="20"/>
                <w:szCs w:val="20"/>
              </w:rPr>
              <w:t>YEAR-TO-DATE</w:t>
            </w:r>
          </w:p>
        </w:tc>
      </w:tr>
      <w:tr w:rsidR="00243AD2" w:rsidRPr="00D51798" w:rsidTr="00FA1196">
        <w:tc>
          <w:tcPr>
            <w:tcW w:w="1530" w:type="dxa"/>
          </w:tcPr>
          <w:p w:rsidR="00243AD2" w:rsidRPr="00D317C5" w:rsidRDefault="00243AD2" w:rsidP="00FA1196">
            <w:pPr>
              <w:autoSpaceDE w:val="0"/>
              <w:autoSpaceDN w:val="0"/>
              <w:adjustRightInd w:val="0"/>
              <w:jc w:val="both"/>
              <w:rPr>
                <w:rFonts w:ascii="Arial Narrow" w:hAnsi="Arial Narrow" w:cs="Arial"/>
                <w:bCs/>
                <w:sz w:val="20"/>
                <w:szCs w:val="20"/>
              </w:rPr>
            </w:pPr>
            <w:r w:rsidRPr="00D317C5">
              <w:rPr>
                <w:rFonts w:ascii="Arial Narrow" w:hAnsi="Arial Narrow" w:cs="Arial"/>
                <w:bCs/>
                <w:sz w:val="20"/>
                <w:szCs w:val="20"/>
              </w:rPr>
              <w:t>MIG</w:t>
            </w:r>
          </w:p>
        </w:tc>
        <w:tc>
          <w:tcPr>
            <w:tcW w:w="1925"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R23 270 948.00</w:t>
            </w:r>
          </w:p>
        </w:tc>
        <w:tc>
          <w:tcPr>
            <w:tcW w:w="183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R0.00</w:t>
            </w:r>
          </w:p>
        </w:tc>
        <w:tc>
          <w:tcPr>
            <w:tcW w:w="192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R111 742.03</w:t>
            </w:r>
          </w:p>
        </w:tc>
        <w:tc>
          <w:tcPr>
            <w:tcW w:w="200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R653 032.84</w:t>
            </w:r>
          </w:p>
        </w:tc>
      </w:tr>
      <w:tr w:rsidR="00243AD2" w:rsidRPr="00D51798" w:rsidTr="00FA1196">
        <w:tc>
          <w:tcPr>
            <w:tcW w:w="1530" w:type="dxa"/>
          </w:tcPr>
          <w:p w:rsidR="00243AD2" w:rsidRPr="00D317C5" w:rsidRDefault="00243AD2" w:rsidP="00FA1196">
            <w:pPr>
              <w:autoSpaceDE w:val="0"/>
              <w:autoSpaceDN w:val="0"/>
              <w:adjustRightInd w:val="0"/>
              <w:jc w:val="both"/>
              <w:rPr>
                <w:rFonts w:ascii="Arial Narrow" w:hAnsi="Arial Narrow" w:cs="Arial"/>
                <w:bCs/>
                <w:sz w:val="20"/>
                <w:szCs w:val="20"/>
              </w:rPr>
            </w:pPr>
            <w:r w:rsidRPr="00D317C5">
              <w:rPr>
                <w:rFonts w:ascii="Arial Narrow" w:hAnsi="Arial Narrow" w:cs="Arial"/>
                <w:bCs/>
                <w:sz w:val="20"/>
                <w:szCs w:val="20"/>
              </w:rPr>
              <w:t>MSIG</w:t>
            </w:r>
          </w:p>
        </w:tc>
        <w:tc>
          <w:tcPr>
            <w:tcW w:w="1925"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R930 000.00</w:t>
            </w:r>
          </w:p>
        </w:tc>
        <w:tc>
          <w:tcPr>
            <w:tcW w:w="183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R930 000.00</w:t>
            </w:r>
          </w:p>
        </w:tc>
        <w:tc>
          <w:tcPr>
            <w:tcW w:w="192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R9 581.00</w:t>
            </w:r>
          </w:p>
        </w:tc>
        <w:tc>
          <w:tcPr>
            <w:tcW w:w="200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R577 808.00</w:t>
            </w:r>
          </w:p>
        </w:tc>
      </w:tr>
      <w:tr w:rsidR="00243AD2" w:rsidRPr="00D51798" w:rsidTr="00FA1196">
        <w:tc>
          <w:tcPr>
            <w:tcW w:w="1530" w:type="dxa"/>
          </w:tcPr>
          <w:p w:rsidR="00243AD2" w:rsidRPr="00D317C5" w:rsidRDefault="00243AD2" w:rsidP="00FA1196">
            <w:pPr>
              <w:autoSpaceDE w:val="0"/>
              <w:autoSpaceDN w:val="0"/>
              <w:adjustRightInd w:val="0"/>
              <w:jc w:val="both"/>
              <w:rPr>
                <w:rFonts w:ascii="Arial Narrow" w:hAnsi="Arial Narrow" w:cs="Arial"/>
                <w:bCs/>
                <w:sz w:val="20"/>
                <w:szCs w:val="20"/>
              </w:rPr>
            </w:pPr>
            <w:r w:rsidRPr="00D317C5">
              <w:rPr>
                <w:rFonts w:ascii="Arial Narrow" w:hAnsi="Arial Narrow" w:cs="Arial"/>
                <w:bCs/>
                <w:sz w:val="20"/>
                <w:szCs w:val="20"/>
              </w:rPr>
              <w:t>FMG</w:t>
            </w:r>
          </w:p>
        </w:tc>
        <w:tc>
          <w:tcPr>
            <w:tcW w:w="1925"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R1 675 000.00</w:t>
            </w:r>
          </w:p>
        </w:tc>
        <w:tc>
          <w:tcPr>
            <w:tcW w:w="183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R1 675 000.00</w:t>
            </w:r>
          </w:p>
        </w:tc>
        <w:tc>
          <w:tcPr>
            <w:tcW w:w="192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R21 331.00</w:t>
            </w:r>
          </w:p>
        </w:tc>
        <w:tc>
          <w:tcPr>
            <w:tcW w:w="200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R611 894.00</w:t>
            </w:r>
          </w:p>
        </w:tc>
      </w:tr>
      <w:tr w:rsidR="00243AD2" w:rsidRPr="00D51798" w:rsidTr="00FA1196">
        <w:tc>
          <w:tcPr>
            <w:tcW w:w="1530" w:type="dxa"/>
          </w:tcPr>
          <w:p w:rsidR="00243AD2" w:rsidRPr="00D317C5" w:rsidRDefault="00243AD2" w:rsidP="00FA1196">
            <w:pPr>
              <w:autoSpaceDE w:val="0"/>
              <w:autoSpaceDN w:val="0"/>
              <w:adjustRightInd w:val="0"/>
              <w:jc w:val="both"/>
              <w:rPr>
                <w:rFonts w:ascii="Arial Narrow" w:hAnsi="Arial Narrow" w:cs="Arial"/>
                <w:bCs/>
                <w:sz w:val="20"/>
                <w:szCs w:val="20"/>
              </w:rPr>
            </w:pPr>
            <w:r w:rsidRPr="00D317C5">
              <w:rPr>
                <w:rFonts w:ascii="Arial Narrow" w:hAnsi="Arial Narrow" w:cs="Arial"/>
                <w:bCs/>
                <w:sz w:val="20"/>
                <w:szCs w:val="20"/>
              </w:rPr>
              <w:t>EPWP</w:t>
            </w:r>
          </w:p>
        </w:tc>
        <w:tc>
          <w:tcPr>
            <w:tcW w:w="1925"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R1 002 000.00</w:t>
            </w:r>
          </w:p>
        </w:tc>
        <w:tc>
          <w:tcPr>
            <w:tcW w:w="183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R702 000.00</w:t>
            </w:r>
          </w:p>
        </w:tc>
        <w:tc>
          <w:tcPr>
            <w:tcW w:w="192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R329 892.00</w:t>
            </w:r>
          </w:p>
        </w:tc>
        <w:tc>
          <w:tcPr>
            <w:tcW w:w="2003" w:type="dxa"/>
          </w:tcPr>
          <w:p w:rsidR="00243AD2" w:rsidRPr="00D317C5" w:rsidRDefault="00243AD2" w:rsidP="00FA1196">
            <w:pPr>
              <w:autoSpaceDE w:val="0"/>
              <w:autoSpaceDN w:val="0"/>
              <w:adjustRightInd w:val="0"/>
              <w:jc w:val="right"/>
              <w:rPr>
                <w:rFonts w:ascii="Arial Narrow" w:hAnsi="Arial Narrow" w:cs="Arial"/>
                <w:bCs/>
                <w:sz w:val="20"/>
                <w:szCs w:val="20"/>
              </w:rPr>
            </w:pPr>
            <w:r w:rsidRPr="00D317C5">
              <w:rPr>
                <w:rFonts w:ascii="Arial Narrow" w:hAnsi="Arial Narrow" w:cs="Arial"/>
                <w:bCs/>
                <w:sz w:val="20"/>
                <w:szCs w:val="20"/>
              </w:rPr>
              <w:t>R759 117.00</w:t>
            </w:r>
          </w:p>
        </w:tc>
      </w:tr>
      <w:tr w:rsidR="00243AD2" w:rsidRPr="00D51798" w:rsidTr="00FA1196">
        <w:tc>
          <w:tcPr>
            <w:tcW w:w="1530" w:type="dxa"/>
          </w:tcPr>
          <w:p w:rsidR="00243AD2" w:rsidRPr="00D317C5" w:rsidRDefault="00243AD2" w:rsidP="00FA1196">
            <w:pPr>
              <w:autoSpaceDE w:val="0"/>
              <w:autoSpaceDN w:val="0"/>
              <w:adjustRightInd w:val="0"/>
              <w:jc w:val="both"/>
              <w:rPr>
                <w:rFonts w:ascii="Arial Narrow" w:hAnsi="Arial Narrow" w:cs="Arial"/>
                <w:b/>
                <w:bCs/>
                <w:sz w:val="20"/>
                <w:szCs w:val="20"/>
              </w:rPr>
            </w:pPr>
            <w:r w:rsidRPr="00D317C5">
              <w:rPr>
                <w:rFonts w:ascii="Arial Narrow" w:hAnsi="Arial Narrow" w:cs="Arial"/>
                <w:b/>
                <w:bCs/>
                <w:sz w:val="20"/>
                <w:szCs w:val="20"/>
              </w:rPr>
              <w:t>TOTAL</w:t>
            </w:r>
          </w:p>
        </w:tc>
        <w:tc>
          <w:tcPr>
            <w:tcW w:w="1925" w:type="dxa"/>
          </w:tcPr>
          <w:p w:rsidR="00243AD2" w:rsidRPr="00D317C5" w:rsidRDefault="00243AD2" w:rsidP="00FA1196">
            <w:pPr>
              <w:autoSpaceDE w:val="0"/>
              <w:autoSpaceDN w:val="0"/>
              <w:adjustRightInd w:val="0"/>
              <w:jc w:val="right"/>
              <w:rPr>
                <w:rFonts w:ascii="Arial Narrow" w:hAnsi="Arial Narrow" w:cs="Arial"/>
                <w:b/>
                <w:bCs/>
                <w:sz w:val="20"/>
                <w:szCs w:val="20"/>
              </w:rPr>
            </w:pPr>
            <w:r w:rsidRPr="00D317C5">
              <w:rPr>
                <w:rFonts w:ascii="Arial Narrow" w:hAnsi="Arial Narrow" w:cs="Arial"/>
                <w:b/>
                <w:bCs/>
                <w:sz w:val="20"/>
                <w:szCs w:val="20"/>
              </w:rPr>
              <w:t>R26 877 948.00</w:t>
            </w:r>
          </w:p>
        </w:tc>
        <w:tc>
          <w:tcPr>
            <w:tcW w:w="1833" w:type="dxa"/>
          </w:tcPr>
          <w:p w:rsidR="00243AD2" w:rsidRPr="00D317C5" w:rsidRDefault="00243AD2" w:rsidP="00FA1196">
            <w:pPr>
              <w:autoSpaceDE w:val="0"/>
              <w:autoSpaceDN w:val="0"/>
              <w:adjustRightInd w:val="0"/>
              <w:jc w:val="right"/>
              <w:rPr>
                <w:rFonts w:ascii="Arial Narrow" w:hAnsi="Arial Narrow" w:cs="Arial"/>
                <w:b/>
                <w:bCs/>
                <w:sz w:val="20"/>
                <w:szCs w:val="20"/>
              </w:rPr>
            </w:pPr>
            <w:r w:rsidRPr="00D317C5">
              <w:rPr>
                <w:rFonts w:ascii="Arial Narrow" w:hAnsi="Arial Narrow" w:cs="Arial"/>
                <w:b/>
                <w:bCs/>
                <w:sz w:val="20"/>
                <w:szCs w:val="20"/>
              </w:rPr>
              <w:t>R3 307 000.00</w:t>
            </w:r>
          </w:p>
        </w:tc>
        <w:tc>
          <w:tcPr>
            <w:tcW w:w="1923" w:type="dxa"/>
          </w:tcPr>
          <w:p w:rsidR="00243AD2" w:rsidRPr="00D317C5" w:rsidRDefault="00243AD2" w:rsidP="00FA1196">
            <w:pPr>
              <w:autoSpaceDE w:val="0"/>
              <w:autoSpaceDN w:val="0"/>
              <w:adjustRightInd w:val="0"/>
              <w:jc w:val="right"/>
              <w:rPr>
                <w:rFonts w:ascii="Arial Narrow" w:hAnsi="Arial Narrow" w:cs="Arial"/>
                <w:b/>
                <w:bCs/>
                <w:sz w:val="20"/>
                <w:szCs w:val="20"/>
              </w:rPr>
            </w:pPr>
            <w:r w:rsidRPr="00D317C5">
              <w:rPr>
                <w:rFonts w:ascii="Arial Narrow" w:hAnsi="Arial Narrow" w:cs="Arial"/>
                <w:b/>
                <w:bCs/>
                <w:sz w:val="20"/>
                <w:szCs w:val="20"/>
              </w:rPr>
              <w:t>R472 546.03</w:t>
            </w:r>
          </w:p>
        </w:tc>
        <w:tc>
          <w:tcPr>
            <w:tcW w:w="2003" w:type="dxa"/>
          </w:tcPr>
          <w:p w:rsidR="00243AD2" w:rsidRPr="00D317C5" w:rsidRDefault="00243AD2" w:rsidP="00FA1196">
            <w:pPr>
              <w:autoSpaceDE w:val="0"/>
              <w:autoSpaceDN w:val="0"/>
              <w:adjustRightInd w:val="0"/>
              <w:jc w:val="right"/>
              <w:rPr>
                <w:rFonts w:ascii="Arial Narrow" w:hAnsi="Arial Narrow" w:cs="Arial"/>
                <w:b/>
                <w:bCs/>
                <w:sz w:val="20"/>
                <w:szCs w:val="20"/>
              </w:rPr>
            </w:pPr>
            <w:r w:rsidRPr="00D317C5">
              <w:rPr>
                <w:rFonts w:ascii="Arial Narrow" w:hAnsi="Arial Narrow" w:cs="Arial"/>
                <w:b/>
                <w:bCs/>
                <w:sz w:val="20"/>
                <w:szCs w:val="20"/>
              </w:rPr>
              <w:t>R2 601 851.84</w:t>
            </w:r>
          </w:p>
        </w:tc>
      </w:tr>
    </w:tbl>
    <w:p w:rsidR="000B162A" w:rsidRPr="00BF0B5C" w:rsidRDefault="000B162A" w:rsidP="000B162A">
      <w:pPr>
        <w:spacing w:line="360" w:lineRule="auto"/>
        <w:rPr>
          <w:rFonts w:ascii="Arial Narrow" w:hAnsi="Arial Narrow" w:cs="Calibri"/>
        </w:rPr>
      </w:pPr>
    </w:p>
    <w:p w:rsidR="007004E6" w:rsidRDefault="007004E6" w:rsidP="00FE3795">
      <w:pPr>
        <w:pStyle w:val="ListParagraph"/>
        <w:numPr>
          <w:ilvl w:val="0"/>
          <w:numId w:val="9"/>
        </w:numPr>
        <w:autoSpaceDE w:val="0"/>
        <w:autoSpaceDN w:val="0"/>
        <w:adjustRightInd w:val="0"/>
        <w:spacing w:before="240" w:after="0" w:line="240" w:lineRule="auto"/>
        <w:rPr>
          <w:rFonts w:ascii="Arial Narrow" w:hAnsi="Arial Narrow" w:cs="Calibri"/>
          <w:b/>
        </w:rPr>
      </w:pPr>
      <w:r w:rsidRPr="00BF0B5C">
        <w:rPr>
          <w:rFonts w:ascii="Arial Narrow" w:hAnsi="Arial Narrow" w:cs="Calibri"/>
          <w:b/>
        </w:rPr>
        <w:t>FINANCIAL PERFORMANCE ANALYSIS</w:t>
      </w:r>
    </w:p>
    <w:p w:rsidR="0058324E" w:rsidRDefault="0058324E" w:rsidP="0058324E">
      <w:pPr>
        <w:pStyle w:val="ListParagraph"/>
        <w:autoSpaceDE w:val="0"/>
        <w:autoSpaceDN w:val="0"/>
        <w:adjustRightInd w:val="0"/>
        <w:spacing w:before="240" w:after="0" w:line="240" w:lineRule="auto"/>
        <w:ind w:left="360"/>
        <w:rPr>
          <w:rFonts w:ascii="Arial Narrow" w:hAnsi="Arial Narrow" w:cs="Calibri"/>
          <w:b/>
        </w:rPr>
      </w:pPr>
    </w:p>
    <w:p w:rsidR="0058324E" w:rsidRPr="0058324E" w:rsidRDefault="0058324E" w:rsidP="0058324E">
      <w:pPr>
        <w:pStyle w:val="NoSpacing"/>
        <w:rPr>
          <w:rFonts w:ascii="Arial Narrow" w:hAnsi="Arial Narrow"/>
          <w:lang w:val="en-US"/>
        </w:rPr>
      </w:pPr>
      <w:r w:rsidRPr="0058324E">
        <w:rPr>
          <w:rFonts w:ascii="Arial Narrow" w:hAnsi="Arial Narrow"/>
        </w:rPr>
        <w:t>Based on the findings identified in the Plan, t</w:t>
      </w:r>
      <w:r w:rsidR="00C35AB1">
        <w:rPr>
          <w:rFonts w:ascii="Arial Narrow" w:hAnsi="Arial Narrow"/>
        </w:rPr>
        <w:t xml:space="preserve">he municipality was advised to </w:t>
      </w:r>
      <w:proofErr w:type="spellStart"/>
      <w:r w:rsidR="00FA02A8">
        <w:rPr>
          <w:rFonts w:ascii="Arial Narrow" w:hAnsi="Arial Narrow"/>
          <w:lang w:val="en-US"/>
        </w:rPr>
        <w:t>prioritise</w:t>
      </w:r>
      <w:proofErr w:type="spellEnd"/>
      <w:r w:rsidRPr="0058324E">
        <w:rPr>
          <w:rFonts w:ascii="Arial Narrow" w:hAnsi="Arial Narrow"/>
          <w:lang w:val="en-US"/>
        </w:rPr>
        <w:t xml:space="preserve"> the following:</w:t>
      </w:r>
    </w:p>
    <w:p w:rsidR="0058324E" w:rsidRPr="0058324E" w:rsidRDefault="0058324E" w:rsidP="0058324E">
      <w:pPr>
        <w:pStyle w:val="NoSpacing"/>
        <w:numPr>
          <w:ilvl w:val="0"/>
          <w:numId w:val="19"/>
        </w:numPr>
        <w:rPr>
          <w:rFonts w:ascii="Arial Narrow" w:hAnsi="Arial Narrow"/>
          <w:lang w:val="en-US"/>
        </w:rPr>
      </w:pPr>
      <w:r w:rsidRPr="0058324E">
        <w:rPr>
          <w:rFonts w:ascii="Arial Narrow" w:hAnsi="Arial Narrow"/>
          <w:lang w:val="en-US"/>
        </w:rPr>
        <w:t>Implementation of revenue enhancement initiatives</w:t>
      </w:r>
    </w:p>
    <w:p w:rsidR="0058324E" w:rsidRPr="0058324E" w:rsidRDefault="0058324E" w:rsidP="0058324E">
      <w:pPr>
        <w:pStyle w:val="NoSpacing"/>
        <w:numPr>
          <w:ilvl w:val="0"/>
          <w:numId w:val="19"/>
        </w:numPr>
        <w:rPr>
          <w:rFonts w:ascii="Arial Narrow" w:hAnsi="Arial Narrow"/>
          <w:lang w:val="en-US"/>
        </w:rPr>
      </w:pPr>
      <w:r w:rsidRPr="0058324E">
        <w:rPr>
          <w:rFonts w:ascii="Arial Narrow" w:hAnsi="Arial Narrow"/>
          <w:lang w:val="en-US"/>
        </w:rPr>
        <w:t>Cost containment measures</w:t>
      </w:r>
    </w:p>
    <w:p w:rsidR="0058324E" w:rsidRPr="0058324E" w:rsidRDefault="0058324E" w:rsidP="0058324E">
      <w:pPr>
        <w:pStyle w:val="NoSpacing"/>
        <w:numPr>
          <w:ilvl w:val="0"/>
          <w:numId w:val="19"/>
        </w:numPr>
        <w:rPr>
          <w:rFonts w:ascii="Arial Narrow" w:hAnsi="Arial Narrow"/>
          <w:lang w:val="en-US"/>
        </w:rPr>
      </w:pPr>
      <w:r w:rsidRPr="0058324E">
        <w:rPr>
          <w:rFonts w:ascii="Arial Narrow" w:hAnsi="Arial Narrow"/>
          <w:lang w:val="en-US"/>
        </w:rPr>
        <w:t>Development of an integrated assets management plan</w:t>
      </w:r>
    </w:p>
    <w:p w:rsidR="0058324E" w:rsidRPr="0058324E" w:rsidRDefault="0058324E" w:rsidP="0058324E">
      <w:pPr>
        <w:pStyle w:val="NoSpacing"/>
        <w:numPr>
          <w:ilvl w:val="0"/>
          <w:numId w:val="19"/>
        </w:numPr>
        <w:rPr>
          <w:rFonts w:ascii="Arial Narrow" w:hAnsi="Arial Narrow"/>
          <w:lang w:val="en-US"/>
        </w:rPr>
      </w:pPr>
      <w:r w:rsidRPr="0058324E">
        <w:rPr>
          <w:rFonts w:ascii="Arial Narrow" w:hAnsi="Arial Narrow"/>
          <w:lang w:val="en-US"/>
        </w:rPr>
        <w:t>Correction of the opening balances in preparation for the 2014/15 annual financial statements</w:t>
      </w:r>
    </w:p>
    <w:p w:rsidR="0058324E" w:rsidRPr="0058324E" w:rsidRDefault="0058324E" w:rsidP="0058324E">
      <w:pPr>
        <w:pStyle w:val="NoSpacing"/>
        <w:numPr>
          <w:ilvl w:val="0"/>
          <w:numId w:val="19"/>
        </w:numPr>
        <w:rPr>
          <w:rFonts w:ascii="Arial Narrow" w:hAnsi="Arial Narrow"/>
          <w:lang w:val="en-US"/>
        </w:rPr>
      </w:pPr>
      <w:r w:rsidRPr="0058324E">
        <w:rPr>
          <w:rFonts w:ascii="Arial Narrow" w:hAnsi="Arial Narrow"/>
          <w:lang w:val="en-US"/>
        </w:rPr>
        <w:t>Address staff competencies to meet MFMA minimum competency requirements</w:t>
      </w:r>
    </w:p>
    <w:p w:rsidR="0058324E" w:rsidRPr="0058324E" w:rsidRDefault="0058324E" w:rsidP="0058324E">
      <w:pPr>
        <w:pStyle w:val="NoSpacing"/>
        <w:numPr>
          <w:ilvl w:val="0"/>
          <w:numId w:val="19"/>
        </w:numPr>
        <w:rPr>
          <w:rFonts w:ascii="Arial Narrow" w:hAnsi="Arial Narrow"/>
          <w:lang w:val="en-US"/>
        </w:rPr>
      </w:pPr>
      <w:r w:rsidRPr="0058324E">
        <w:rPr>
          <w:rFonts w:ascii="Arial Narrow" w:hAnsi="Arial Narrow"/>
          <w:lang w:val="en-US"/>
        </w:rPr>
        <w:t>Reduce irregular expenditure and fruitless and wasteful expenditure</w:t>
      </w:r>
    </w:p>
    <w:p w:rsidR="0058324E" w:rsidRDefault="0058324E" w:rsidP="0058324E">
      <w:pPr>
        <w:pStyle w:val="NoSpacing"/>
        <w:numPr>
          <w:ilvl w:val="0"/>
          <w:numId w:val="19"/>
        </w:numPr>
        <w:rPr>
          <w:rFonts w:ascii="Arial Narrow" w:hAnsi="Arial Narrow"/>
          <w:lang w:val="en-US"/>
        </w:rPr>
      </w:pPr>
      <w:r w:rsidRPr="0058324E">
        <w:rPr>
          <w:rFonts w:ascii="Arial Narrow" w:hAnsi="Arial Narrow"/>
          <w:lang w:val="en-US"/>
        </w:rPr>
        <w:t>Improve financial data integrity</w:t>
      </w:r>
    </w:p>
    <w:p w:rsidR="00FA02A8" w:rsidRDefault="0058324E" w:rsidP="0058324E">
      <w:pPr>
        <w:pStyle w:val="NoSpacing"/>
        <w:numPr>
          <w:ilvl w:val="0"/>
          <w:numId w:val="19"/>
        </w:numPr>
        <w:rPr>
          <w:rFonts w:ascii="Arial Narrow" w:hAnsi="Arial Narrow"/>
          <w:lang w:val="en-US"/>
        </w:rPr>
      </w:pPr>
      <w:r w:rsidRPr="00FA02A8">
        <w:rPr>
          <w:rFonts w:ascii="Arial Narrow" w:hAnsi="Arial Narrow"/>
          <w:lang w:val="en-US"/>
        </w:rPr>
        <w:t xml:space="preserve">Improve in-year assessment and reporting to facilitate timely decision making. </w:t>
      </w:r>
    </w:p>
    <w:p w:rsidR="00FA02A8" w:rsidRDefault="00FA02A8" w:rsidP="00FA02A8">
      <w:pPr>
        <w:pStyle w:val="NoSpacing"/>
        <w:rPr>
          <w:rFonts w:ascii="Arial Narrow" w:hAnsi="Arial Narrow"/>
          <w:lang w:val="en-US"/>
        </w:rPr>
      </w:pPr>
    </w:p>
    <w:p w:rsidR="0058324E" w:rsidRPr="00FA02A8" w:rsidRDefault="0058324E" w:rsidP="00FA02A8">
      <w:pPr>
        <w:pStyle w:val="NoSpacing"/>
        <w:rPr>
          <w:rFonts w:ascii="Arial Narrow" w:hAnsi="Arial Narrow"/>
          <w:lang w:val="en-US"/>
        </w:rPr>
      </w:pPr>
      <w:r w:rsidRPr="00FA02A8">
        <w:rPr>
          <w:rFonts w:ascii="Arial Narrow" w:hAnsi="Arial Narrow"/>
          <w:lang w:val="en-US"/>
        </w:rPr>
        <w:t>Strides have been made to respond to the findings to ensure good governance in financial management and adequate resources are available to provide service delivery to the community.</w:t>
      </w:r>
    </w:p>
    <w:p w:rsidR="0058324E" w:rsidRPr="0058324E" w:rsidRDefault="0058324E" w:rsidP="0058324E">
      <w:pPr>
        <w:pStyle w:val="NoSpacing"/>
        <w:rPr>
          <w:rFonts w:ascii="Arial Narrow" w:hAnsi="Arial Narrow"/>
          <w:lang w:val="en-US"/>
        </w:rPr>
      </w:pPr>
    </w:p>
    <w:p w:rsidR="0058324E" w:rsidRPr="0058324E" w:rsidRDefault="0058324E" w:rsidP="0058324E">
      <w:pPr>
        <w:pStyle w:val="NoSpacing"/>
        <w:rPr>
          <w:rFonts w:ascii="Arial Narrow" w:hAnsi="Arial Narrow"/>
        </w:rPr>
      </w:pPr>
      <w:r w:rsidRPr="0058324E">
        <w:rPr>
          <w:rFonts w:ascii="Arial Narrow" w:hAnsi="Arial Narrow"/>
          <w:lang w:val="en-US"/>
        </w:rPr>
        <w:t>A Revenue Enhancement Plan was developed by the municipality which was funded by Co-operative and Traditional Affairs (</w:t>
      </w:r>
      <w:proofErr w:type="spellStart"/>
      <w:r w:rsidRPr="0058324E">
        <w:rPr>
          <w:rFonts w:ascii="Arial Narrow" w:hAnsi="Arial Narrow"/>
          <w:lang w:val="en-US"/>
        </w:rPr>
        <w:t>CoGTA</w:t>
      </w:r>
      <w:proofErr w:type="spellEnd"/>
      <w:r w:rsidRPr="0058324E">
        <w:rPr>
          <w:rFonts w:ascii="Arial Narrow" w:hAnsi="Arial Narrow"/>
          <w:lang w:val="en-US"/>
        </w:rPr>
        <w:t>). A service provider was appointed by the municipality to implement the Plan and</w:t>
      </w:r>
      <w:r w:rsidR="00C35AB1">
        <w:rPr>
          <w:rFonts w:ascii="Arial Narrow" w:hAnsi="Arial Narrow"/>
          <w:lang w:val="en-US"/>
        </w:rPr>
        <w:t xml:space="preserve"> attend to </w:t>
      </w:r>
      <w:r w:rsidRPr="0058324E">
        <w:rPr>
          <w:rFonts w:ascii="Arial Narrow" w:hAnsi="Arial Narrow"/>
          <w:lang w:val="en-US"/>
        </w:rPr>
        <w:t xml:space="preserve">data cleansing of Debtors. Based on the appointment, the municipal collection rate for 15/16 financial year is forecasted at 85%. </w:t>
      </w:r>
      <w:r>
        <w:rPr>
          <w:rFonts w:ascii="Arial Narrow" w:hAnsi="Arial Narrow"/>
          <w:lang w:val="en-US"/>
        </w:rPr>
        <w:t>As at 31</w:t>
      </w:r>
      <w:r w:rsidR="00FA02A8">
        <w:rPr>
          <w:rFonts w:ascii="Arial Narrow" w:hAnsi="Arial Narrow"/>
          <w:lang w:val="en-US"/>
        </w:rPr>
        <w:t xml:space="preserve"> </w:t>
      </w:r>
      <w:r>
        <w:rPr>
          <w:rFonts w:ascii="Arial Narrow" w:hAnsi="Arial Narrow"/>
          <w:lang w:val="en-US"/>
        </w:rPr>
        <w:t xml:space="preserve">December </w:t>
      </w:r>
      <w:r w:rsidRPr="0058324E">
        <w:rPr>
          <w:rFonts w:ascii="Arial Narrow" w:hAnsi="Arial Narrow"/>
          <w:lang w:val="en-US"/>
        </w:rPr>
        <w:t xml:space="preserve">2015, the collection rate is </w:t>
      </w:r>
      <w:r>
        <w:rPr>
          <w:rFonts w:ascii="Arial Narrow" w:hAnsi="Arial Narrow"/>
          <w:lang w:val="en-US"/>
        </w:rPr>
        <w:t>71</w:t>
      </w:r>
      <w:r w:rsidRPr="0058324E">
        <w:rPr>
          <w:rFonts w:ascii="Arial Narrow" w:hAnsi="Arial Narrow"/>
          <w:lang w:val="en-US"/>
        </w:rPr>
        <w:t>%.</w:t>
      </w:r>
    </w:p>
    <w:p w:rsidR="007004E6" w:rsidRPr="00BF0B5C" w:rsidRDefault="006871E3" w:rsidP="00AA6501">
      <w:pPr>
        <w:pStyle w:val="NoSpacing"/>
        <w:spacing w:before="240" w:line="360" w:lineRule="auto"/>
        <w:rPr>
          <w:rFonts w:ascii="Arial Narrow" w:hAnsi="Arial Narrow" w:cs="Calibri"/>
          <w:b/>
        </w:rPr>
      </w:pPr>
      <w:r w:rsidRPr="00BF0B5C">
        <w:rPr>
          <w:rFonts w:ascii="Arial Narrow" w:hAnsi="Arial Narrow" w:cs="Calibri"/>
          <w:b/>
        </w:rPr>
        <w:t>4</w:t>
      </w:r>
      <w:r w:rsidR="007004E6" w:rsidRPr="00BF0B5C">
        <w:rPr>
          <w:rFonts w:ascii="Arial Narrow" w:hAnsi="Arial Narrow" w:cs="Calibri"/>
          <w:b/>
        </w:rPr>
        <w:t>.1. Cash Management</w:t>
      </w:r>
    </w:p>
    <w:p w:rsidR="005952D1" w:rsidRDefault="005952D1" w:rsidP="00AA6501">
      <w:pPr>
        <w:pStyle w:val="NoSpacing"/>
        <w:numPr>
          <w:ilvl w:val="0"/>
          <w:numId w:val="20"/>
        </w:numPr>
        <w:rPr>
          <w:rFonts w:ascii="Arial Narrow" w:hAnsi="Arial Narrow"/>
        </w:rPr>
      </w:pPr>
      <w:r w:rsidRPr="00AA6501">
        <w:rPr>
          <w:rFonts w:ascii="Arial Narrow" w:hAnsi="Arial Narrow"/>
        </w:rPr>
        <w:t>Healthy cash flow continues to be a challenge at the municipality as long-outstan</w:t>
      </w:r>
      <w:r w:rsidR="00A16003">
        <w:rPr>
          <w:rFonts w:ascii="Arial Narrow" w:hAnsi="Arial Narrow"/>
        </w:rPr>
        <w:t xml:space="preserve">ding debts are demanded to be </w:t>
      </w:r>
      <w:r w:rsidRPr="00AA6501">
        <w:rPr>
          <w:rFonts w:ascii="Arial Narrow" w:hAnsi="Arial Narrow"/>
        </w:rPr>
        <w:t xml:space="preserve">paid irrespective of availability of funds. </w:t>
      </w:r>
    </w:p>
    <w:p w:rsidR="00A626B3" w:rsidRPr="00AA6501" w:rsidRDefault="00A626B3" w:rsidP="00A626B3">
      <w:pPr>
        <w:pStyle w:val="NoSpacing"/>
        <w:ind w:left="720"/>
        <w:rPr>
          <w:rFonts w:ascii="Arial Narrow" w:hAnsi="Arial Narrow"/>
        </w:rPr>
      </w:pPr>
    </w:p>
    <w:p w:rsidR="005952D1" w:rsidRDefault="005952D1" w:rsidP="00AA6501">
      <w:pPr>
        <w:pStyle w:val="NoSpacing"/>
        <w:numPr>
          <w:ilvl w:val="0"/>
          <w:numId w:val="20"/>
        </w:numPr>
        <w:rPr>
          <w:rFonts w:ascii="Arial Narrow" w:hAnsi="Arial Narrow"/>
        </w:rPr>
      </w:pPr>
      <w:r w:rsidRPr="00AA6501">
        <w:rPr>
          <w:rFonts w:ascii="Arial Narrow" w:hAnsi="Arial Narrow"/>
        </w:rPr>
        <w:lastRenderedPageBreak/>
        <w:t>Co</w:t>
      </w:r>
      <w:r w:rsidR="008725C9" w:rsidRPr="00AA6501">
        <w:rPr>
          <w:rFonts w:ascii="Arial Narrow" w:hAnsi="Arial Narrow"/>
        </w:rPr>
        <w:t>llection rate was projected at 8</w:t>
      </w:r>
      <w:r w:rsidRPr="00AA6501">
        <w:rPr>
          <w:rFonts w:ascii="Arial Narrow" w:hAnsi="Arial Narrow"/>
        </w:rPr>
        <w:t>5</w:t>
      </w:r>
      <w:r w:rsidR="008725C9" w:rsidRPr="00AA6501">
        <w:rPr>
          <w:rFonts w:ascii="Arial Narrow" w:hAnsi="Arial Narrow"/>
        </w:rPr>
        <w:t>%, however it is averaging at 71</w:t>
      </w:r>
      <w:r w:rsidRPr="00AA6501">
        <w:rPr>
          <w:rFonts w:ascii="Arial Narrow" w:hAnsi="Arial Narrow"/>
        </w:rPr>
        <w:t xml:space="preserve">%, having a negative impact on the availability of cash to repay such creditors. It is anticipated that the collection rate will increase as a service provider </w:t>
      </w:r>
      <w:r w:rsidR="00C35AB1">
        <w:rPr>
          <w:rFonts w:ascii="Arial Narrow" w:hAnsi="Arial Narrow"/>
        </w:rPr>
        <w:t xml:space="preserve">and field </w:t>
      </w:r>
      <w:r w:rsidR="008725C9" w:rsidRPr="00AA6501">
        <w:rPr>
          <w:rFonts w:ascii="Arial Narrow" w:hAnsi="Arial Narrow"/>
        </w:rPr>
        <w:t>workers for indigent registration have</w:t>
      </w:r>
      <w:r w:rsidRPr="00AA6501">
        <w:rPr>
          <w:rFonts w:ascii="Arial Narrow" w:hAnsi="Arial Narrow"/>
        </w:rPr>
        <w:t xml:space="preserve"> been appointed to assist in debt collection and cleansing.</w:t>
      </w:r>
    </w:p>
    <w:p w:rsidR="00A626B3" w:rsidRPr="00AA6501" w:rsidRDefault="00A626B3" w:rsidP="00A626B3">
      <w:pPr>
        <w:pStyle w:val="NoSpacing"/>
        <w:ind w:left="720"/>
        <w:rPr>
          <w:rFonts w:ascii="Arial Narrow" w:hAnsi="Arial Narrow"/>
        </w:rPr>
      </w:pPr>
    </w:p>
    <w:p w:rsidR="005952D1" w:rsidRDefault="005952D1" w:rsidP="00AA6501">
      <w:pPr>
        <w:pStyle w:val="NoSpacing"/>
        <w:numPr>
          <w:ilvl w:val="0"/>
          <w:numId w:val="20"/>
        </w:numPr>
        <w:rPr>
          <w:rFonts w:ascii="Arial Narrow" w:hAnsi="Arial Narrow"/>
        </w:rPr>
      </w:pPr>
      <w:r w:rsidRPr="00AA6501">
        <w:rPr>
          <w:rFonts w:ascii="Arial Narrow" w:hAnsi="Arial Narrow"/>
        </w:rPr>
        <w:t>The municipality continues to experience challenges with its system particularly relating to accuracy and reliability of information produced as a result of manual work done outside the system over the year</w:t>
      </w:r>
      <w:r w:rsidR="00344322" w:rsidRPr="00AA6501">
        <w:rPr>
          <w:rFonts w:ascii="Arial Narrow" w:hAnsi="Arial Narrow"/>
        </w:rPr>
        <w:t>s</w:t>
      </w:r>
      <w:r w:rsidRPr="00AA6501">
        <w:rPr>
          <w:rFonts w:ascii="Arial Narrow" w:hAnsi="Arial Narrow"/>
        </w:rPr>
        <w:t>. A service provider was appointed for a period of 3 years to assist in these affected areas.</w:t>
      </w:r>
    </w:p>
    <w:p w:rsidR="00AA6501" w:rsidRDefault="00AA6501" w:rsidP="00AA6501">
      <w:pPr>
        <w:pStyle w:val="NoSpacing"/>
        <w:rPr>
          <w:rFonts w:ascii="Arial Narrow" w:hAnsi="Arial Narrow"/>
        </w:rPr>
      </w:pPr>
    </w:p>
    <w:p w:rsidR="00AA6501" w:rsidRDefault="00AA6501" w:rsidP="00AA6501">
      <w:pPr>
        <w:pStyle w:val="NoSpacing"/>
        <w:rPr>
          <w:rFonts w:ascii="Arial Narrow" w:hAnsi="Arial Narrow"/>
        </w:rPr>
      </w:pPr>
    </w:p>
    <w:p w:rsidR="007004E6" w:rsidRDefault="007004E6" w:rsidP="00AA6501">
      <w:pPr>
        <w:pStyle w:val="ListParagraph"/>
        <w:numPr>
          <w:ilvl w:val="1"/>
          <w:numId w:val="9"/>
        </w:numPr>
        <w:autoSpaceDE w:val="0"/>
        <w:autoSpaceDN w:val="0"/>
        <w:adjustRightInd w:val="0"/>
        <w:spacing w:before="240" w:line="240" w:lineRule="auto"/>
        <w:rPr>
          <w:rFonts w:ascii="Arial Narrow" w:hAnsi="Arial Narrow" w:cstheme="minorHAnsi"/>
          <w:b/>
        </w:rPr>
      </w:pPr>
      <w:r w:rsidRPr="00AA6501">
        <w:rPr>
          <w:rFonts w:ascii="Arial Narrow" w:hAnsi="Arial Narrow" w:cstheme="minorHAnsi"/>
          <w:b/>
        </w:rPr>
        <w:t>Outstanding Debtors</w:t>
      </w:r>
    </w:p>
    <w:p w:rsidR="00A626B3" w:rsidRDefault="00A626B3" w:rsidP="00D317C5">
      <w:pPr>
        <w:pStyle w:val="ListParagraph"/>
        <w:autoSpaceDE w:val="0"/>
        <w:autoSpaceDN w:val="0"/>
        <w:adjustRightInd w:val="0"/>
        <w:spacing w:before="240" w:line="240" w:lineRule="auto"/>
        <w:ind w:left="360"/>
        <w:rPr>
          <w:rFonts w:ascii="Arial Narrow" w:hAnsi="Arial Narrow" w:cstheme="minorHAnsi"/>
          <w:b/>
        </w:rPr>
      </w:pPr>
    </w:p>
    <w:p w:rsidR="00AA6501" w:rsidRPr="00AA6501" w:rsidRDefault="00A626B3" w:rsidP="00AA6501">
      <w:pPr>
        <w:pStyle w:val="ListParagraph"/>
        <w:autoSpaceDE w:val="0"/>
        <w:autoSpaceDN w:val="0"/>
        <w:adjustRightInd w:val="0"/>
        <w:spacing w:before="240" w:line="240" w:lineRule="auto"/>
        <w:ind w:left="360"/>
        <w:rPr>
          <w:rFonts w:ascii="Arial Narrow" w:hAnsi="Arial Narrow" w:cstheme="minorHAnsi"/>
          <w:b/>
        </w:rPr>
      </w:pPr>
      <w:r w:rsidRPr="00D51798">
        <w:rPr>
          <w:rFonts w:ascii="Arial Narrow" w:hAnsi="Arial Narrow" w:cs="Arial"/>
          <w:b/>
          <w:bCs/>
          <w:noProof/>
        </w:rPr>
        <w:drawing>
          <wp:inline distT="0" distB="0" distL="0" distR="0" wp14:anchorId="7CF41E68" wp14:editId="3C3F788A">
            <wp:extent cx="5731510" cy="2856865"/>
            <wp:effectExtent l="0" t="0" r="2540" b="63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A6501" w:rsidRPr="00AA6501" w:rsidRDefault="00AA6501" w:rsidP="00A626B3">
      <w:pPr>
        <w:pStyle w:val="ListParagraph"/>
        <w:autoSpaceDE w:val="0"/>
        <w:autoSpaceDN w:val="0"/>
        <w:adjustRightInd w:val="0"/>
        <w:spacing w:after="0" w:line="240" w:lineRule="auto"/>
        <w:ind w:left="360"/>
        <w:jc w:val="both"/>
        <w:rPr>
          <w:rFonts w:ascii="Arial Narrow" w:hAnsi="Arial Narrow" w:cs="Arial"/>
          <w:bCs/>
          <w:sz w:val="24"/>
          <w:szCs w:val="24"/>
        </w:rPr>
      </w:pPr>
    </w:p>
    <w:p w:rsidR="00AA6501" w:rsidRPr="000F72D3" w:rsidRDefault="00AA6501" w:rsidP="000F72D3">
      <w:pPr>
        <w:pStyle w:val="NoSpacing"/>
        <w:rPr>
          <w:rFonts w:ascii="Arial Narrow" w:hAnsi="Arial Narrow"/>
        </w:rPr>
      </w:pPr>
    </w:p>
    <w:p w:rsidR="000F72D3" w:rsidRDefault="005C7EB0" w:rsidP="000F72D3">
      <w:pPr>
        <w:pStyle w:val="NoSpacing"/>
        <w:numPr>
          <w:ilvl w:val="0"/>
          <w:numId w:val="21"/>
        </w:numPr>
        <w:rPr>
          <w:rFonts w:ascii="Arial Narrow" w:hAnsi="Arial Narrow"/>
        </w:rPr>
      </w:pPr>
      <w:r w:rsidRPr="000F72D3">
        <w:rPr>
          <w:rFonts w:ascii="Arial Narrow" w:hAnsi="Arial Narrow"/>
        </w:rPr>
        <w:t>As at 31 December 2015</w:t>
      </w:r>
      <w:r w:rsidR="00B62E76" w:rsidRPr="000F72D3">
        <w:rPr>
          <w:rFonts w:ascii="Arial Narrow" w:hAnsi="Arial Narrow"/>
        </w:rPr>
        <w:t>, t</w:t>
      </w:r>
      <w:r w:rsidR="00F13D7A" w:rsidRPr="000F72D3">
        <w:rPr>
          <w:rFonts w:ascii="Arial Narrow" w:hAnsi="Arial Narrow"/>
        </w:rPr>
        <w:t>otal debtors amounted to R342</w:t>
      </w:r>
      <w:r w:rsidR="00EC234C">
        <w:rPr>
          <w:rFonts w:ascii="Arial Narrow" w:hAnsi="Arial Narrow"/>
        </w:rPr>
        <w:t>,</w:t>
      </w:r>
      <w:r w:rsidR="00EC234C" w:rsidRPr="000F72D3">
        <w:rPr>
          <w:rFonts w:ascii="Arial Narrow" w:hAnsi="Arial Narrow"/>
        </w:rPr>
        <w:t xml:space="preserve"> 486</w:t>
      </w:r>
      <w:r w:rsidR="00B62E76" w:rsidRPr="000F72D3">
        <w:rPr>
          <w:rFonts w:ascii="Arial Narrow" w:hAnsi="Arial Narrow"/>
        </w:rPr>
        <w:t xml:space="preserve"> million with the largest debtors </w:t>
      </w:r>
      <w:r w:rsidR="00AA6501" w:rsidRPr="000F72D3">
        <w:rPr>
          <w:rFonts w:ascii="Arial Narrow" w:hAnsi="Arial Narrow"/>
        </w:rPr>
        <w:t>be</w:t>
      </w:r>
      <w:r w:rsidR="00F13D7A" w:rsidRPr="000F72D3">
        <w:rPr>
          <w:rFonts w:ascii="Arial Narrow" w:hAnsi="Arial Narrow"/>
        </w:rPr>
        <w:t>ing from 151-180 days at R171, 521</w:t>
      </w:r>
      <w:r w:rsidR="00AA6501" w:rsidRPr="000F72D3">
        <w:rPr>
          <w:rFonts w:ascii="Arial Narrow" w:hAnsi="Arial Narrow"/>
        </w:rPr>
        <w:t xml:space="preserve"> </w:t>
      </w:r>
      <w:r w:rsidR="00F13D7A" w:rsidRPr="000F72D3">
        <w:rPr>
          <w:rFonts w:ascii="Arial Narrow" w:hAnsi="Arial Narrow"/>
        </w:rPr>
        <w:t>million (50</w:t>
      </w:r>
      <w:r w:rsidR="00B13F87" w:rsidRPr="000F72D3">
        <w:rPr>
          <w:rFonts w:ascii="Arial Narrow" w:hAnsi="Arial Narrow"/>
        </w:rPr>
        <w:t>%), of which its</w:t>
      </w:r>
      <w:r w:rsidR="00B62E76" w:rsidRPr="000F72D3">
        <w:rPr>
          <w:rFonts w:ascii="Arial Narrow" w:hAnsi="Arial Narrow"/>
        </w:rPr>
        <w:t xml:space="preserve"> collection is doubtful.</w:t>
      </w:r>
    </w:p>
    <w:p w:rsidR="00E55BDD" w:rsidRPr="000F72D3" w:rsidRDefault="00B62E76" w:rsidP="000F72D3">
      <w:pPr>
        <w:pStyle w:val="NoSpacing"/>
        <w:ind w:left="720"/>
        <w:rPr>
          <w:rFonts w:ascii="Arial Narrow" w:hAnsi="Arial Narrow"/>
        </w:rPr>
      </w:pPr>
      <w:r w:rsidRPr="000F72D3">
        <w:rPr>
          <w:rFonts w:ascii="Arial Narrow" w:hAnsi="Arial Narrow"/>
        </w:rPr>
        <w:t xml:space="preserve"> </w:t>
      </w:r>
    </w:p>
    <w:p w:rsidR="0081783D" w:rsidRDefault="00B62E76" w:rsidP="000F72D3">
      <w:pPr>
        <w:pStyle w:val="NoSpacing"/>
        <w:numPr>
          <w:ilvl w:val="0"/>
          <w:numId w:val="21"/>
        </w:numPr>
        <w:rPr>
          <w:rFonts w:ascii="Arial Narrow" w:hAnsi="Arial Narrow"/>
        </w:rPr>
      </w:pPr>
      <w:r w:rsidRPr="000F72D3">
        <w:rPr>
          <w:rFonts w:ascii="Arial Narrow" w:hAnsi="Arial Narrow"/>
        </w:rPr>
        <w:t>The highest contributor of outstanding debtors continues to be the rapid increase in actual indigent households without updating the municipality’s records</w:t>
      </w:r>
      <w:r w:rsidR="00C35AB1">
        <w:rPr>
          <w:rFonts w:ascii="Arial Narrow" w:hAnsi="Arial Narrow"/>
        </w:rPr>
        <w:t>. D</w:t>
      </w:r>
      <w:r w:rsidR="006D6716" w:rsidRPr="000F72D3">
        <w:rPr>
          <w:rFonts w:ascii="Arial Narrow" w:hAnsi="Arial Narrow"/>
        </w:rPr>
        <w:t xml:space="preserve">espite the efforts made to educate and inform the </w:t>
      </w:r>
      <w:proofErr w:type="spellStart"/>
      <w:r w:rsidR="006D6716" w:rsidRPr="000F72D3">
        <w:rPr>
          <w:rFonts w:ascii="Arial Narrow" w:hAnsi="Arial Narrow"/>
        </w:rPr>
        <w:t>Makana</w:t>
      </w:r>
      <w:proofErr w:type="spellEnd"/>
      <w:r w:rsidR="006D6716" w:rsidRPr="000F72D3">
        <w:rPr>
          <w:rFonts w:ascii="Arial Narrow" w:hAnsi="Arial Narrow"/>
        </w:rPr>
        <w:t xml:space="preserve"> community, the consumers </w:t>
      </w:r>
      <w:r w:rsidR="0081783D" w:rsidRPr="000F72D3">
        <w:rPr>
          <w:rFonts w:ascii="Arial Narrow" w:hAnsi="Arial Narrow"/>
        </w:rPr>
        <w:t>continue</w:t>
      </w:r>
      <w:r w:rsidR="006D6716" w:rsidRPr="000F72D3">
        <w:rPr>
          <w:rFonts w:ascii="Arial Narrow" w:hAnsi="Arial Narrow"/>
        </w:rPr>
        <w:t xml:space="preserve"> </w:t>
      </w:r>
      <w:r w:rsidR="00C35AB1">
        <w:rPr>
          <w:rFonts w:ascii="Arial Narrow" w:hAnsi="Arial Narrow"/>
        </w:rPr>
        <w:t xml:space="preserve">to </w:t>
      </w:r>
      <w:r w:rsidR="006D6716" w:rsidRPr="000F72D3">
        <w:rPr>
          <w:rFonts w:ascii="Arial Narrow" w:hAnsi="Arial Narrow"/>
        </w:rPr>
        <w:t xml:space="preserve">not come forward to apply for indigent subsidy so </w:t>
      </w:r>
      <w:r w:rsidR="0081783D" w:rsidRPr="000F72D3">
        <w:rPr>
          <w:rFonts w:ascii="Arial Narrow" w:hAnsi="Arial Narrow"/>
        </w:rPr>
        <w:t>that they can be billed as such</w:t>
      </w:r>
      <w:r w:rsidRPr="000F72D3">
        <w:rPr>
          <w:rFonts w:ascii="Arial Narrow" w:hAnsi="Arial Narrow"/>
        </w:rPr>
        <w:t xml:space="preserve">. </w:t>
      </w:r>
    </w:p>
    <w:p w:rsidR="000F72D3" w:rsidRPr="000F72D3" w:rsidRDefault="000F72D3" w:rsidP="000F72D3">
      <w:pPr>
        <w:pStyle w:val="NoSpacing"/>
        <w:ind w:left="720"/>
        <w:rPr>
          <w:rFonts w:ascii="Arial Narrow" w:hAnsi="Arial Narrow"/>
        </w:rPr>
      </w:pPr>
    </w:p>
    <w:p w:rsidR="00B62E76" w:rsidRDefault="00B62E76" w:rsidP="000F72D3">
      <w:pPr>
        <w:pStyle w:val="NoSpacing"/>
        <w:numPr>
          <w:ilvl w:val="0"/>
          <w:numId w:val="21"/>
        </w:numPr>
        <w:rPr>
          <w:rFonts w:ascii="Arial Narrow" w:hAnsi="Arial Narrow"/>
        </w:rPr>
      </w:pPr>
      <w:r w:rsidRPr="000F72D3">
        <w:rPr>
          <w:rFonts w:ascii="Arial Narrow" w:hAnsi="Arial Narrow"/>
        </w:rPr>
        <w:t>Once this kind of information, through the assis</w:t>
      </w:r>
      <w:r w:rsidR="00C35AB1">
        <w:rPr>
          <w:rFonts w:ascii="Arial Narrow" w:hAnsi="Arial Narrow"/>
        </w:rPr>
        <w:t>tance of councillors and ward committees</w:t>
      </w:r>
      <w:r w:rsidRPr="000F72D3">
        <w:rPr>
          <w:rFonts w:ascii="Arial Narrow" w:hAnsi="Arial Narrow"/>
        </w:rPr>
        <w:t xml:space="preserve"> and the community at large, is updated it will give the municipality tangible motivation to increase its equitable share from National Treasury so that the municipality is able to cover revenue forgone from indigent households.</w:t>
      </w:r>
    </w:p>
    <w:p w:rsidR="000F72D3" w:rsidRDefault="000F72D3" w:rsidP="000F72D3">
      <w:pPr>
        <w:pStyle w:val="ListParagraph"/>
        <w:rPr>
          <w:rFonts w:ascii="Arial Narrow" w:hAnsi="Arial Narrow"/>
        </w:rPr>
      </w:pPr>
    </w:p>
    <w:p w:rsidR="000F72D3" w:rsidRPr="000F72D3" w:rsidRDefault="00B62E76" w:rsidP="002F77B1">
      <w:pPr>
        <w:pStyle w:val="NoSpacing"/>
        <w:numPr>
          <w:ilvl w:val="0"/>
          <w:numId w:val="21"/>
        </w:numPr>
      </w:pPr>
      <w:r w:rsidRPr="000F72D3">
        <w:rPr>
          <w:rFonts w:ascii="Arial Narrow" w:hAnsi="Arial Narrow"/>
        </w:rPr>
        <w:t>The municipality has recently appointed a service provider to assist in data cleaning and debt collection through the implementation of the Revenue Enhancement Strategy. Collection rate is thus anticipated to increase and debtors book to decrease.</w:t>
      </w:r>
    </w:p>
    <w:p w:rsidR="000F72D3" w:rsidRDefault="000F72D3" w:rsidP="000F72D3">
      <w:pPr>
        <w:pStyle w:val="ListParagraph"/>
      </w:pPr>
    </w:p>
    <w:p w:rsidR="00B03F8E" w:rsidRPr="00BF0B5C" w:rsidRDefault="00B62E76" w:rsidP="002F77B1">
      <w:pPr>
        <w:pStyle w:val="NoSpacing"/>
        <w:numPr>
          <w:ilvl w:val="0"/>
          <w:numId w:val="21"/>
        </w:numPr>
      </w:pPr>
      <w:r w:rsidRPr="000F72D3">
        <w:rPr>
          <w:rFonts w:ascii="Arial Narrow" w:hAnsi="Arial Narrow"/>
        </w:rPr>
        <w:lastRenderedPageBreak/>
        <w:t xml:space="preserve">The rapid increase in consumer debt due to non-payment by ratepayers and consumers and high level of indigence in the municipal area increases the likelihood of these debtor amounts not being collected despite the </w:t>
      </w:r>
      <w:r w:rsidRPr="00BF0B5C">
        <w:t>implementat</w:t>
      </w:r>
      <w:r w:rsidR="00B03F8E" w:rsidRPr="00BF0B5C">
        <w:t xml:space="preserve">ion of the </w:t>
      </w:r>
      <w:r w:rsidR="00B03F8E" w:rsidRPr="00EC234C">
        <w:rPr>
          <w:rFonts w:ascii="Arial Narrow" w:hAnsi="Arial Narrow"/>
        </w:rPr>
        <w:t>Credit Control Policy.</w:t>
      </w:r>
      <w:r w:rsidR="00B03F8E" w:rsidRPr="00BF0B5C">
        <w:t xml:space="preserve"> </w:t>
      </w:r>
    </w:p>
    <w:p w:rsidR="007004E6" w:rsidRPr="00BF0B5C" w:rsidRDefault="006871E3" w:rsidP="00A771E5">
      <w:pPr>
        <w:autoSpaceDE w:val="0"/>
        <w:autoSpaceDN w:val="0"/>
        <w:adjustRightInd w:val="0"/>
        <w:spacing w:before="240" w:line="360" w:lineRule="auto"/>
        <w:rPr>
          <w:rFonts w:ascii="Arial Narrow" w:hAnsi="Arial Narrow" w:cstheme="minorHAnsi"/>
          <w:b/>
        </w:rPr>
      </w:pPr>
      <w:r w:rsidRPr="00BF0B5C">
        <w:rPr>
          <w:rFonts w:ascii="Arial Narrow" w:hAnsi="Arial Narrow" w:cstheme="minorHAnsi"/>
          <w:b/>
        </w:rPr>
        <w:t>4</w:t>
      </w:r>
      <w:r w:rsidR="007004E6" w:rsidRPr="00BF0B5C">
        <w:rPr>
          <w:rFonts w:ascii="Arial Narrow" w:hAnsi="Arial Narrow" w:cstheme="minorHAnsi"/>
          <w:b/>
        </w:rPr>
        <w:t>.3. Payment of Creditors</w:t>
      </w:r>
    </w:p>
    <w:p w:rsidR="000F72D3" w:rsidRDefault="000F72D3" w:rsidP="000F72D3">
      <w:pPr>
        <w:pStyle w:val="ListParagraph"/>
        <w:numPr>
          <w:ilvl w:val="0"/>
          <w:numId w:val="23"/>
        </w:numPr>
        <w:rPr>
          <w:rFonts w:ascii="Arial Narrow" w:hAnsi="Arial Narrow"/>
        </w:rPr>
      </w:pPr>
      <w:r w:rsidRPr="000F72D3">
        <w:rPr>
          <w:rFonts w:ascii="Arial Narrow" w:hAnsi="Arial Narrow"/>
        </w:rPr>
        <w:t>Total outstanding creditors to date amounts to R78</w:t>
      </w:r>
      <w:r w:rsidR="00270E1A" w:rsidRPr="000F72D3">
        <w:rPr>
          <w:rFonts w:ascii="Arial Narrow" w:hAnsi="Arial Narrow"/>
        </w:rPr>
        <w:t>, 4</w:t>
      </w:r>
      <w:r w:rsidRPr="000F72D3">
        <w:rPr>
          <w:rFonts w:ascii="Arial Narrow" w:hAnsi="Arial Narrow"/>
        </w:rPr>
        <w:t>33</w:t>
      </w:r>
      <w:r w:rsidR="00270E1A" w:rsidRPr="000F72D3">
        <w:rPr>
          <w:rFonts w:ascii="Arial Narrow" w:hAnsi="Arial Narrow"/>
        </w:rPr>
        <w:t xml:space="preserve"> million,</w:t>
      </w:r>
      <w:r w:rsidRPr="000F72D3">
        <w:rPr>
          <w:rFonts w:ascii="Arial Narrow" w:hAnsi="Arial Narrow"/>
        </w:rPr>
        <w:t xml:space="preserve"> this amount includes </w:t>
      </w:r>
      <w:r w:rsidR="00270E1A" w:rsidRPr="000F72D3">
        <w:rPr>
          <w:rFonts w:ascii="Arial Narrow" w:hAnsi="Arial Narrow"/>
        </w:rPr>
        <w:t>previous years’ long outstanding debt</w:t>
      </w:r>
      <w:r w:rsidR="00A16003">
        <w:rPr>
          <w:rFonts w:ascii="Arial Narrow" w:hAnsi="Arial Narrow"/>
        </w:rPr>
        <w:t>s to</w:t>
      </w:r>
      <w:r w:rsidRPr="000F72D3">
        <w:rPr>
          <w:rFonts w:ascii="Arial Narrow" w:hAnsi="Arial Narrow"/>
        </w:rPr>
        <w:t xml:space="preserve"> Eskom, Department of Water Affairs and Auditor General</w:t>
      </w:r>
      <w:r>
        <w:rPr>
          <w:rFonts w:ascii="Arial Narrow" w:hAnsi="Arial Narrow"/>
        </w:rPr>
        <w:t>.</w:t>
      </w:r>
    </w:p>
    <w:p w:rsidR="000F72D3" w:rsidRPr="000F72D3" w:rsidRDefault="000F72D3" w:rsidP="000F72D3">
      <w:pPr>
        <w:pStyle w:val="ListParagraph"/>
        <w:rPr>
          <w:rFonts w:ascii="Arial Narrow" w:hAnsi="Arial Narrow"/>
        </w:rPr>
      </w:pPr>
    </w:p>
    <w:p w:rsidR="00270E1A" w:rsidRDefault="00270E1A" w:rsidP="000F72D3">
      <w:pPr>
        <w:pStyle w:val="ListParagraph"/>
        <w:numPr>
          <w:ilvl w:val="0"/>
          <w:numId w:val="23"/>
        </w:numPr>
        <w:rPr>
          <w:rFonts w:ascii="Arial Narrow" w:hAnsi="Arial Narrow"/>
        </w:rPr>
      </w:pPr>
      <w:r w:rsidRPr="000F72D3">
        <w:rPr>
          <w:rFonts w:ascii="Arial Narrow" w:hAnsi="Arial Narrow"/>
        </w:rPr>
        <w:t>The council is advised to consider condoning interest payment as it is wasteful expenditure.</w:t>
      </w:r>
    </w:p>
    <w:p w:rsidR="000F72D3" w:rsidRPr="000F72D3" w:rsidRDefault="000F72D3" w:rsidP="000F72D3">
      <w:pPr>
        <w:pStyle w:val="ListParagraph"/>
        <w:rPr>
          <w:rFonts w:ascii="Arial Narrow" w:hAnsi="Arial Narrow"/>
        </w:rPr>
      </w:pPr>
    </w:p>
    <w:p w:rsidR="005952D1" w:rsidRPr="000F72D3" w:rsidRDefault="000F72D3" w:rsidP="000F72D3">
      <w:pPr>
        <w:pStyle w:val="ListParagraph"/>
        <w:numPr>
          <w:ilvl w:val="0"/>
          <w:numId w:val="23"/>
        </w:numPr>
        <w:rPr>
          <w:rFonts w:ascii="Arial Narrow" w:hAnsi="Arial Narrow"/>
        </w:rPr>
      </w:pPr>
      <w:r>
        <w:rPr>
          <w:rFonts w:ascii="Arial Narrow" w:hAnsi="Arial Narrow"/>
        </w:rPr>
        <w:t>The municipality has entered into payment arrangement with major creditors. And the austerity measures are adhered to</w:t>
      </w:r>
    </w:p>
    <w:p w:rsidR="007004E6" w:rsidRPr="003F7970" w:rsidRDefault="003F7970" w:rsidP="003F7970">
      <w:pPr>
        <w:autoSpaceDE w:val="0"/>
        <w:autoSpaceDN w:val="0"/>
        <w:adjustRightInd w:val="0"/>
        <w:spacing w:before="240" w:line="360" w:lineRule="auto"/>
        <w:rPr>
          <w:rFonts w:ascii="Arial Narrow" w:hAnsi="Arial Narrow" w:cs="Calibri"/>
          <w:b/>
        </w:rPr>
      </w:pPr>
      <w:r>
        <w:rPr>
          <w:rFonts w:ascii="Arial Narrow" w:hAnsi="Arial Narrow" w:cs="Calibri"/>
          <w:b/>
        </w:rPr>
        <w:t xml:space="preserve">5. </w:t>
      </w:r>
      <w:r w:rsidR="007004E6" w:rsidRPr="003F7970">
        <w:rPr>
          <w:rFonts w:ascii="Arial Narrow" w:hAnsi="Arial Narrow" w:cs="Calibri"/>
          <w:b/>
        </w:rPr>
        <w:t>ADJUSTMENT BUDGET</w:t>
      </w:r>
    </w:p>
    <w:p w:rsidR="006A0C68" w:rsidRPr="00EC234C" w:rsidRDefault="006A0C68" w:rsidP="00A04719">
      <w:pPr>
        <w:autoSpaceDE w:val="0"/>
        <w:autoSpaceDN w:val="0"/>
        <w:adjustRightInd w:val="0"/>
        <w:spacing w:line="360" w:lineRule="auto"/>
        <w:rPr>
          <w:rFonts w:ascii="Arial Narrow" w:hAnsi="Arial Narrow" w:cs="Calibri"/>
        </w:rPr>
      </w:pPr>
      <w:r w:rsidRPr="00EC234C">
        <w:rPr>
          <w:rFonts w:ascii="Arial Narrow" w:hAnsi="Arial Narrow" w:cs="Calibri"/>
        </w:rPr>
        <w:t xml:space="preserve">Regulation 23 of the Municipal Budget and Reporting Regulations provides, inter alia for the following: </w:t>
      </w:r>
    </w:p>
    <w:p w:rsidR="006A0C68" w:rsidRPr="00EC234C" w:rsidRDefault="006A0C68" w:rsidP="00A04719">
      <w:pPr>
        <w:autoSpaceDE w:val="0"/>
        <w:autoSpaceDN w:val="0"/>
        <w:adjustRightInd w:val="0"/>
        <w:spacing w:line="360" w:lineRule="auto"/>
        <w:rPr>
          <w:rFonts w:ascii="Arial Narrow" w:hAnsi="Arial Narrow" w:cs="Calibri"/>
        </w:rPr>
      </w:pPr>
      <w:r w:rsidRPr="00EC234C">
        <w:rPr>
          <w:rFonts w:ascii="Arial Narrow" w:hAnsi="Arial Narrow" w:cs="Calibri"/>
        </w:rPr>
        <w:t>“An adjustment budget may be tabled in the Municipal Council at any time after the Mid-year Budget and Performance Assessment has been tabled in the Council, but not later than 28 February of each year. Furthermore, except under certain circumstances only one adjustment budget may be tabled in Council during a financial year.”</w:t>
      </w:r>
    </w:p>
    <w:p w:rsidR="00A771E5" w:rsidRPr="00EC234C" w:rsidRDefault="006A0C68" w:rsidP="00CE2D9A">
      <w:pPr>
        <w:autoSpaceDE w:val="0"/>
        <w:autoSpaceDN w:val="0"/>
        <w:adjustRightInd w:val="0"/>
        <w:spacing w:line="360" w:lineRule="auto"/>
        <w:rPr>
          <w:rFonts w:ascii="Arial Narrow" w:hAnsi="Arial Narrow" w:cs="Calibri"/>
        </w:rPr>
      </w:pPr>
      <w:r w:rsidRPr="00EC234C">
        <w:rPr>
          <w:rFonts w:ascii="Arial Narrow" w:hAnsi="Arial Narrow" w:cs="Calibri"/>
        </w:rPr>
        <w:t xml:space="preserve">Accordingly a </w:t>
      </w:r>
      <w:r w:rsidR="00CE2D9A" w:rsidRPr="00EC234C">
        <w:rPr>
          <w:rFonts w:ascii="Arial Narrow" w:hAnsi="Arial Narrow" w:cs="Calibri"/>
        </w:rPr>
        <w:t xml:space="preserve">final </w:t>
      </w:r>
      <w:r w:rsidRPr="00EC234C">
        <w:rPr>
          <w:rFonts w:ascii="Arial Narrow" w:hAnsi="Arial Narrow" w:cs="Calibri"/>
        </w:rPr>
        <w:t>report on adjustment budget will be submitted for consideration by</w:t>
      </w:r>
      <w:r w:rsidR="00A04719" w:rsidRPr="00EC234C">
        <w:rPr>
          <w:rFonts w:ascii="Arial Narrow" w:hAnsi="Arial Narrow" w:cs="Calibri"/>
        </w:rPr>
        <w:t xml:space="preserve"> </w:t>
      </w:r>
      <w:r w:rsidRPr="00EC234C">
        <w:rPr>
          <w:rFonts w:ascii="Arial Narrow" w:hAnsi="Arial Narrow" w:cs="Calibri"/>
        </w:rPr>
        <w:t>Council before 28 F</w:t>
      </w:r>
      <w:r w:rsidR="00EC234C">
        <w:rPr>
          <w:rFonts w:ascii="Arial Narrow" w:hAnsi="Arial Narrow" w:cs="Calibri"/>
        </w:rPr>
        <w:t>ebruary 2015.</w:t>
      </w:r>
    </w:p>
    <w:p w:rsidR="00665850" w:rsidRPr="003F7970" w:rsidRDefault="007004E6" w:rsidP="003F7970">
      <w:pPr>
        <w:pStyle w:val="ListParagraph"/>
        <w:numPr>
          <w:ilvl w:val="0"/>
          <w:numId w:val="9"/>
        </w:numPr>
        <w:autoSpaceDE w:val="0"/>
        <w:autoSpaceDN w:val="0"/>
        <w:adjustRightInd w:val="0"/>
        <w:spacing w:before="240" w:line="360" w:lineRule="auto"/>
        <w:rPr>
          <w:rFonts w:ascii="Arial Narrow" w:hAnsi="Arial Narrow" w:cs="Calibri"/>
          <w:b/>
        </w:rPr>
      </w:pPr>
      <w:r w:rsidRPr="003F7970">
        <w:rPr>
          <w:rFonts w:ascii="Arial Narrow" w:hAnsi="Arial Narrow" w:cs="Calibri"/>
          <w:b/>
        </w:rPr>
        <w:t>ANNUAL REPORT</w:t>
      </w:r>
    </w:p>
    <w:p w:rsidR="006A0C68" w:rsidRPr="00BF0B5C" w:rsidRDefault="006A0C68" w:rsidP="00A04719">
      <w:pPr>
        <w:autoSpaceDE w:val="0"/>
        <w:autoSpaceDN w:val="0"/>
        <w:adjustRightInd w:val="0"/>
        <w:spacing w:line="360" w:lineRule="auto"/>
        <w:rPr>
          <w:rFonts w:ascii="Arial Narrow" w:hAnsi="Arial Narrow" w:cs="Calibri"/>
        </w:rPr>
      </w:pPr>
      <w:r w:rsidRPr="00BF0B5C">
        <w:rPr>
          <w:rFonts w:ascii="Arial Narrow" w:hAnsi="Arial Narrow" w:cs="Calibri"/>
        </w:rPr>
        <w:t>T</w:t>
      </w:r>
      <w:r w:rsidR="00031A84">
        <w:rPr>
          <w:rFonts w:ascii="Arial Narrow" w:hAnsi="Arial Narrow" w:cs="Calibri"/>
        </w:rPr>
        <w:t>he Annual Report of the 2014/2015</w:t>
      </w:r>
      <w:r w:rsidRPr="00BF0B5C">
        <w:rPr>
          <w:rFonts w:ascii="Arial Narrow" w:hAnsi="Arial Narrow" w:cs="Calibri"/>
        </w:rPr>
        <w:t xml:space="preserve"> financial year will be covered in a separate report. As prescribed in section 72 (1((a)(iii) of the MFMA the Accounting Officer must assess the performance of the municipality in the first 6 months taking into account the past year’s Annual Report, and progress on resolving the problems identified in the Annual Report.</w:t>
      </w:r>
    </w:p>
    <w:p w:rsidR="006871E3" w:rsidRPr="00BF0B5C" w:rsidRDefault="006871E3" w:rsidP="00CC006D">
      <w:pPr>
        <w:spacing w:before="240" w:line="240" w:lineRule="auto"/>
        <w:jc w:val="right"/>
        <w:rPr>
          <w:rFonts w:ascii="Arial Narrow" w:hAnsi="Arial Narrow"/>
        </w:rPr>
      </w:pPr>
    </w:p>
    <w:p w:rsidR="006871E3" w:rsidRDefault="006871E3" w:rsidP="00CC006D">
      <w:pPr>
        <w:spacing w:before="240" w:line="240" w:lineRule="auto"/>
        <w:jc w:val="right"/>
        <w:rPr>
          <w:rFonts w:ascii="Arial Narrow" w:hAnsi="Arial Narrow"/>
        </w:rPr>
      </w:pPr>
    </w:p>
    <w:p w:rsidR="00665242" w:rsidRDefault="00665242" w:rsidP="00CC006D">
      <w:pPr>
        <w:spacing w:before="240" w:line="240" w:lineRule="auto"/>
        <w:jc w:val="right"/>
        <w:rPr>
          <w:rFonts w:ascii="Arial Narrow" w:hAnsi="Arial Narrow"/>
        </w:rPr>
      </w:pPr>
    </w:p>
    <w:p w:rsidR="00665242" w:rsidRDefault="00665242" w:rsidP="00CC006D">
      <w:pPr>
        <w:spacing w:before="240" w:line="240" w:lineRule="auto"/>
        <w:jc w:val="right"/>
        <w:rPr>
          <w:rFonts w:ascii="Arial Narrow" w:hAnsi="Arial Narrow"/>
        </w:rPr>
      </w:pPr>
    </w:p>
    <w:p w:rsidR="00665242" w:rsidRDefault="00665242" w:rsidP="00CC006D">
      <w:pPr>
        <w:spacing w:before="240" w:line="240" w:lineRule="auto"/>
        <w:jc w:val="right"/>
        <w:rPr>
          <w:rFonts w:ascii="Arial Narrow" w:hAnsi="Arial Narrow"/>
        </w:rPr>
      </w:pPr>
    </w:p>
    <w:p w:rsidR="00665242" w:rsidRPr="00BF0B5C" w:rsidRDefault="00665242" w:rsidP="00CC006D">
      <w:pPr>
        <w:spacing w:before="240" w:line="240" w:lineRule="auto"/>
        <w:jc w:val="right"/>
        <w:rPr>
          <w:rFonts w:ascii="Arial Narrow" w:hAnsi="Arial Narrow"/>
        </w:rPr>
      </w:pPr>
    </w:p>
    <w:p w:rsidR="006871E3" w:rsidRPr="00BF0B5C" w:rsidRDefault="006871E3" w:rsidP="00CC006D">
      <w:pPr>
        <w:spacing w:before="240" w:line="240" w:lineRule="auto"/>
        <w:jc w:val="right"/>
        <w:rPr>
          <w:rFonts w:ascii="Arial Narrow" w:hAnsi="Arial Narrow"/>
        </w:rPr>
      </w:pPr>
    </w:p>
    <w:p w:rsidR="00DF1201" w:rsidRDefault="00DF1201" w:rsidP="00464677">
      <w:pPr>
        <w:spacing w:before="240" w:line="240" w:lineRule="auto"/>
        <w:rPr>
          <w:rFonts w:ascii="Arial Narrow" w:hAnsi="Arial Narrow"/>
        </w:rPr>
      </w:pPr>
    </w:p>
    <w:p w:rsidR="003F7970" w:rsidRDefault="003F7970" w:rsidP="00464677">
      <w:pPr>
        <w:spacing w:before="240" w:line="240" w:lineRule="auto"/>
        <w:rPr>
          <w:rFonts w:ascii="Arial Narrow" w:hAnsi="Arial Narrow"/>
        </w:rPr>
      </w:pPr>
    </w:p>
    <w:p w:rsidR="003F7970" w:rsidRDefault="003F7970" w:rsidP="00464677">
      <w:pPr>
        <w:spacing w:before="240" w:line="240" w:lineRule="auto"/>
        <w:rPr>
          <w:rFonts w:ascii="Arial Narrow" w:hAnsi="Arial Narrow"/>
        </w:rPr>
      </w:pPr>
    </w:p>
    <w:p w:rsidR="002D5877" w:rsidRPr="00BF0B5C" w:rsidRDefault="002D5877" w:rsidP="00CC006D">
      <w:pPr>
        <w:spacing w:before="240" w:line="240" w:lineRule="auto"/>
        <w:jc w:val="right"/>
        <w:rPr>
          <w:rFonts w:ascii="Arial Narrow" w:hAnsi="Arial Narrow"/>
        </w:rPr>
      </w:pPr>
    </w:p>
    <w:p w:rsidR="00E76EDF" w:rsidRPr="00BF0B5C" w:rsidRDefault="00E76EDF" w:rsidP="00CC006D">
      <w:pPr>
        <w:spacing w:before="240" w:line="240" w:lineRule="auto"/>
        <w:jc w:val="center"/>
        <w:rPr>
          <w:rFonts w:ascii="Arial Narrow" w:hAnsi="Arial Narrow"/>
          <w:b/>
        </w:rPr>
      </w:pPr>
      <w:r w:rsidRPr="00BF0B5C">
        <w:rPr>
          <w:rFonts w:ascii="Arial Narrow" w:hAnsi="Arial Narrow"/>
          <w:b/>
        </w:rPr>
        <w:t>ANNEXURE A</w:t>
      </w:r>
    </w:p>
    <w:p w:rsidR="00E76EDF" w:rsidRPr="00BF0B5C" w:rsidRDefault="00E76EDF" w:rsidP="00CC006D">
      <w:pPr>
        <w:spacing w:before="240" w:line="240" w:lineRule="auto"/>
        <w:rPr>
          <w:rFonts w:ascii="Arial Narrow" w:hAnsi="Arial Narrow"/>
        </w:rPr>
      </w:pPr>
    </w:p>
    <w:p w:rsidR="00E76EDF" w:rsidRPr="00BF0B5C" w:rsidRDefault="00D51C82" w:rsidP="00D51C82">
      <w:pPr>
        <w:spacing w:before="240" w:line="240" w:lineRule="auto"/>
        <w:jc w:val="center"/>
        <w:rPr>
          <w:rFonts w:ascii="Arial Narrow" w:hAnsi="Arial Narrow"/>
          <w:b/>
        </w:rPr>
      </w:pPr>
      <w:r w:rsidRPr="00BF0B5C">
        <w:rPr>
          <w:rFonts w:ascii="Arial Narrow" w:hAnsi="Arial Narrow"/>
          <w:b/>
        </w:rPr>
        <w:t>IN-YEAR BUDGET STATEMENT TABLE</w:t>
      </w:r>
    </w:p>
    <w:p w:rsidR="00E76EDF" w:rsidRPr="00BF0B5C" w:rsidRDefault="005C7EB0" w:rsidP="00CC006D">
      <w:pPr>
        <w:pStyle w:val="NoSpacing"/>
        <w:spacing w:before="240"/>
        <w:ind w:left="720"/>
        <w:rPr>
          <w:rFonts w:ascii="Arial Narrow" w:hAnsi="Arial Narrow"/>
        </w:rPr>
      </w:pPr>
      <w:r w:rsidRPr="005C7EB0">
        <w:rPr>
          <w:noProof/>
        </w:rPr>
        <w:drawing>
          <wp:inline distT="0" distB="0" distL="0" distR="0">
            <wp:extent cx="5731510" cy="6245956"/>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6245956"/>
                    </a:xfrm>
                    <a:prstGeom prst="rect">
                      <a:avLst/>
                    </a:prstGeom>
                    <a:noFill/>
                    <a:ln>
                      <a:noFill/>
                    </a:ln>
                  </pic:spPr>
                </pic:pic>
              </a:graphicData>
            </a:graphic>
          </wp:inline>
        </w:drawing>
      </w:r>
    </w:p>
    <w:p w:rsidR="009009F9" w:rsidRPr="00BF0B5C" w:rsidRDefault="005C7EB0" w:rsidP="00CC006D">
      <w:pPr>
        <w:pStyle w:val="NoSpacing"/>
        <w:spacing w:before="240"/>
        <w:ind w:left="720"/>
        <w:rPr>
          <w:rFonts w:ascii="Arial Narrow" w:hAnsi="Arial Narrow"/>
        </w:rPr>
      </w:pPr>
      <w:r w:rsidRPr="005C7EB0">
        <w:rPr>
          <w:noProof/>
        </w:rPr>
        <w:lastRenderedPageBreak/>
        <w:drawing>
          <wp:inline distT="0" distB="0" distL="0" distR="0">
            <wp:extent cx="5731510" cy="6339547"/>
            <wp:effectExtent l="0" t="0" r="254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6339547"/>
                    </a:xfrm>
                    <a:prstGeom prst="rect">
                      <a:avLst/>
                    </a:prstGeom>
                    <a:noFill/>
                    <a:ln>
                      <a:noFill/>
                    </a:ln>
                  </pic:spPr>
                </pic:pic>
              </a:graphicData>
            </a:graphic>
          </wp:inline>
        </w:drawing>
      </w:r>
    </w:p>
    <w:p w:rsidR="009009F9" w:rsidRPr="00BF0B5C" w:rsidRDefault="009009F9"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9009F9" w:rsidRPr="00BF0B5C" w:rsidRDefault="005C7EB0" w:rsidP="00CC006D">
      <w:pPr>
        <w:pStyle w:val="NoSpacing"/>
        <w:spacing w:before="240"/>
        <w:ind w:left="720"/>
        <w:rPr>
          <w:rFonts w:ascii="Arial Narrow" w:hAnsi="Arial Narrow"/>
        </w:rPr>
      </w:pPr>
      <w:r w:rsidRPr="005C7EB0">
        <w:rPr>
          <w:noProof/>
        </w:rPr>
        <w:lastRenderedPageBreak/>
        <w:drawing>
          <wp:inline distT="0" distB="0" distL="0" distR="0">
            <wp:extent cx="5731510" cy="4782277"/>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4782277"/>
                    </a:xfrm>
                    <a:prstGeom prst="rect">
                      <a:avLst/>
                    </a:prstGeom>
                    <a:noFill/>
                    <a:ln>
                      <a:noFill/>
                    </a:ln>
                  </pic:spPr>
                </pic:pic>
              </a:graphicData>
            </a:graphic>
          </wp:inline>
        </w:drawing>
      </w: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E76EDF" w:rsidRPr="00BF0B5C" w:rsidRDefault="00E76EDF"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B315E8" w:rsidP="00CC006D">
      <w:pPr>
        <w:pStyle w:val="NoSpacing"/>
        <w:spacing w:before="240"/>
        <w:ind w:left="720"/>
        <w:rPr>
          <w:rFonts w:ascii="Arial Narrow" w:hAnsi="Arial Narrow"/>
        </w:rPr>
      </w:pPr>
      <w:r w:rsidRPr="00B315E8">
        <w:rPr>
          <w:noProof/>
        </w:rPr>
        <w:lastRenderedPageBreak/>
        <w:drawing>
          <wp:inline distT="0" distB="0" distL="0" distR="0">
            <wp:extent cx="5731510" cy="5983133"/>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5983133"/>
                    </a:xfrm>
                    <a:prstGeom prst="rect">
                      <a:avLst/>
                    </a:prstGeom>
                    <a:noFill/>
                    <a:ln>
                      <a:noFill/>
                    </a:ln>
                  </pic:spPr>
                </pic:pic>
              </a:graphicData>
            </a:graphic>
          </wp:inline>
        </w:drawing>
      </w:r>
    </w:p>
    <w:p w:rsidR="009009F9" w:rsidRPr="00BF0B5C" w:rsidRDefault="009009F9" w:rsidP="00CC006D">
      <w:pPr>
        <w:pStyle w:val="NoSpacing"/>
        <w:spacing w:before="240"/>
        <w:ind w:left="720"/>
        <w:rPr>
          <w:rFonts w:ascii="Arial Narrow" w:hAnsi="Arial Narrow"/>
        </w:rPr>
      </w:pPr>
    </w:p>
    <w:p w:rsidR="009009F9" w:rsidRPr="00BF0B5C" w:rsidRDefault="00175877" w:rsidP="00CC006D">
      <w:pPr>
        <w:pStyle w:val="NoSpacing"/>
        <w:spacing w:before="240"/>
        <w:ind w:left="720"/>
        <w:rPr>
          <w:rFonts w:ascii="Arial Narrow" w:hAnsi="Arial Narrow"/>
        </w:rPr>
      </w:pPr>
      <w:r w:rsidRPr="00175877">
        <w:rPr>
          <w:noProof/>
        </w:rPr>
        <w:lastRenderedPageBreak/>
        <w:drawing>
          <wp:inline distT="0" distB="0" distL="0" distR="0">
            <wp:extent cx="5731510" cy="7982156"/>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1510" cy="7982156"/>
                    </a:xfrm>
                    <a:prstGeom prst="rect">
                      <a:avLst/>
                    </a:prstGeom>
                    <a:noFill/>
                    <a:ln>
                      <a:noFill/>
                    </a:ln>
                  </pic:spPr>
                </pic:pic>
              </a:graphicData>
            </a:graphic>
          </wp:inline>
        </w:drawing>
      </w: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B315E8" w:rsidP="00CC006D">
      <w:pPr>
        <w:pStyle w:val="NoSpacing"/>
        <w:spacing w:before="240"/>
        <w:ind w:left="720"/>
        <w:rPr>
          <w:rFonts w:ascii="Arial Narrow" w:hAnsi="Arial Narrow"/>
        </w:rPr>
      </w:pPr>
      <w:r w:rsidRPr="00B315E8">
        <w:rPr>
          <w:noProof/>
        </w:rPr>
        <w:lastRenderedPageBreak/>
        <w:drawing>
          <wp:inline distT="0" distB="0" distL="0" distR="0">
            <wp:extent cx="5509895" cy="7386320"/>
            <wp:effectExtent l="0" t="0" r="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09895" cy="7386320"/>
                    </a:xfrm>
                    <a:prstGeom prst="rect">
                      <a:avLst/>
                    </a:prstGeom>
                    <a:noFill/>
                    <a:ln>
                      <a:noFill/>
                    </a:ln>
                  </pic:spPr>
                </pic:pic>
              </a:graphicData>
            </a:graphic>
          </wp:inline>
        </w:drawing>
      </w: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B315E8" w:rsidP="003F7970">
      <w:pPr>
        <w:pStyle w:val="NoSpacing"/>
        <w:tabs>
          <w:tab w:val="left" w:pos="4678"/>
        </w:tabs>
        <w:spacing w:before="240"/>
        <w:ind w:left="720"/>
        <w:rPr>
          <w:rFonts w:ascii="Arial Narrow" w:hAnsi="Arial Narrow"/>
        </w:rPr>
      </w:pPr>
      <w:r w:rsidRPr="00B315E8">
        <w:rPr>
          <w:noProof/>
        </w:rPr>
        <w:lastRenderedPageBreak/>
        <w:drawing>
          <wp:inline distT="0" distB="0" distL="0" distR="0">
            <wp:extent cx="5731510" cy="4680421"/>
            <wp:effectExtent l="0" t="0" r="254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1510" cy="4680421"/>
                    </a:xfrm>
                    <a:prstGeom prst="rect">
                      <a:avLst/>
                    </a:prstGeom>
                    <a:noFill/>
                    <a:ln>
                      <a:noFill/>
                    </a:ln>
                  </pic:spPr>
                </pic:pic>
              </a:graphicData>
            </a:graphic>
          </wp:inline>
        </w:drawing>
      </w: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Pr="00BF0B5C" w:rsidRDefault="009009F9" w:rsidP="00CC006D">
      <w:pPr>
        <w:pStyle w:val="NoSpacing"/>
        <w:spacing w:before="240"/>
        <w:ind w:left="720"/>
        <w:rPr>
          <w:rFonts w:ascii="Arial Narrow" w:hAnsi="Arial Narrow"/>
        </w:rPr>
      </w:pPr>
    </w:p>
    <w:p w:rsidR="009009F9" w:rsidRDefault="009009F9" w:rsidP="00CC006D">
      <w:pPr>
        <w:pStyle w:val="NoSpacing"/>
        <w:spacing w:before="240"/>
        <w:ind w:left="720"/>
        <w:rPr>
          <w:rFonts w:ascii="Arial Narrow" w:hAnsi="Arial Narrow"/>
        </w:rPr>
      </w:pPr>
    </w:p>
    <w:p w:rsidR="003F7970" w:rsidRPr="00BF0B5C" w:rsidRDefault="003F7970" w:rsidP="00CC006D">
      <w:pPr>
        <w:pStyle w:val="NoSpacing"/>
        <w:spacing w:before="240"/>
        <w:ind w:left="720"/>
        <w:rPr>
          <w:rFonts w:ascii="Arial Narrow" w:hAnsi="Arial Narrow"/>
        </w:rPr>
      </w:pPr>
    </w:p>
    <w:p w:rsidR="00D317C5" w:rsidRDefault="00D317C5" w:rsidP="00CC006D">
      <w:pPr>
        <w:spacing w:before="240" w:line="240" w:lineRule="auto"/>
        <w:jc w:val="center"/>
        <w:rPr>
          <w:rFonts w:ascii="Arial Narrow" w:hAnsi="Arial Narrow"/>
          <w:b/>
        </w:rPr>
      </w:pPr>
      <w:r>
        <w:rPr>
          <w:rFonts w:ascii="Arial Narrow" w:hAnsi="Arial Narrow"/>
          <w:b/>
        </w:rPr>
        <w:lastRenderedPageBreak/>
        <w:t>ANNEXURE B</w:t>
      </w:r>
    </w:p>
    <w:p w:rsidR="00D317C5" w:rsidRDefault="00D317C5" w:rsidP="00CC006D">
      <w:pPr>
        <w:spacing w:before="240" w:line="240" w:lineRule="auto"/>
        <w:jc w:val="center"/>
        <w:rPr>
          <w:rFonts w:ascii="Arial Narrow" w:hAnsi="Arial Narrow"/>
          <w:b/>
        </w:rPr>
      </w:pPr>
    </w:p>
    <w:p w:rsidR="002D5877" w:rsidRPr="00BF0B5C" w:rsidRDefault="002D5877" w:rsidP="00CC006D">
      <w:pPr>
        <w:spacing w:before="240" w:line="240" w:lineRule="auto"/>
        <w:jc w:val="center"/>
        <w:rPr>
          <w:rFonts w:ascii="Arial Narrow" w:hAnsi="Arial Narrow"/>
          <w:b/>
        </w:rPr>
      </w:pPr>
      <w:r w:rsidRPr="00BF0B5C">
        <w:rPr>
          <w:rFonts w:ascii="Arial Narrow" w:hAnsi="Arial Narrow"/>
          <w:b/>
        </w:rPr>
        <w:t>SUPPORTING TABLES</w:t>
      </w:r>
    </w:p>
    <w:p w:rsidR="002D5877" w:rsidRPr="00BF0B5C" w:rsidRDefault="007C345F" w:rsidP="00CC006D">
      <w:pPr>
        <w:pStyle w:val="NoSpacing"/>
        <w:spacing w:before="240"/>
        <w:ind w:left="720"/>
        <w:rPr>
          <w:rFonts w:ascii="Arial Narrow" w:hAnsi="Arial Narrow"/>
        </w:rPr>
      </w:pPr>
      <w:r w:rsidRPr="00BF0B5C">
        <w:rPr>
          <w:rFonts w:ascii="Arial Narrow" w:hAnsi="Arial Narrow"/>
          <w:noProof/>
        </w:rPr>
        <w:drawing>
          <wp:inline distT="0" distB="0" distL="0" distR="0" wp14:anchorId="6A3A8FB4" wp14:editId="63A7DF07">
            <wp:extent cx="5731510" cy="6585944"/>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1510" cy="6585944"/>
                    </a:xfrm>
                    <a:prstGeom prst="rect">
                      <a:avLst/>
                    </a:prstGeom>
                    <a:noFill/>
                    <a:ln>
                      <a:noFill/>
                    </a:ln>
                  </pic:spPr>
                </pic:pic>
              </a:graphicData>
            </a:graphic>
          </wp:inline>
        </w:drawing>
      </w:r>
    </w:p>
    <w:p w:rsidR="002D5877" w:rsidRPr="00BF0B5C" w:rsidRDefault="002D5877" w:rsidP="00CC006D">
      <w:pPr>
        <w:pStyle w:val="NoSpacing"/>
        <w:spacing w:before="240"/>
        <w:ind w:left="720"/>
        <w:rPr>
          <w:rFonts w:ascii="Arial Narrow" w:hAnsi="Arial Narrow"/>
        </w:rPr>
      </w:pPr>
    </w:p>
    <w:p w:rsidR="002D5877" w:rsidRPr="00BF0B5C" w:rsidRDefault="002D5877" w:rsidP="00CC006D">
      <w:pPr>
        <w:pStyle w:val="NoSpacing"/>
        <w:spacing w:before="240"/>
        <w:ind w:left="720"/>
        <w:rPr>
          <w:rFonts w:ascii="Arial Narrow" w:hAnsi="Arial Narrow"/>
        </w:rPr>
      </w:pPr>
    </w:p>
    <w:p w:rsidR="002D5877" w:rsidRPr="00BF0B5C" w:rsidRDefault="002D5877" w:rsidP="00CC006D">
      <w:pPr>
        <w:pStyle w:val="NoSpacing"/>
        <w:spacing w:before="240"/>
        <w:ind w:left="720"/>
        <w:rPr>
          <w:rFonts w:ascii="Arial Narrow" w:hAnsi="Arial Narrow"/>
        </w:rPr>
      </w:pPr>
    </w:p>
    <w:p w:rsidR="002D5877" w:rsidRPr="00BF0B5C" w:rsidRDefault="002D5877" w:rsidP="00CC006D">
      <w:pPr>
        <w:pStyle w:val="NoSpacing"/>
        <w:spacing w:before="240"/>
        <w:ind w:left="720"/>
        <w:rPr>
          <w:rFonts w:ascii="Arial Narrow" w:hAnsi="Arial Narrow"/>
        </w:rPr>
      </w:pPr>
    </w:p>
    <w:p w:rsidR="002D5877" w:rsidRPr="002C77A6" w:rsidRDefault="00DB3EE8" w:rsidP="00CC006D">
      <w:pPr>
        <w:pStyle w:val="NoSpacing"/>
        <w:spacing w:before="240"/>
        <w:ind w:left="720"/>
        <w:rPr>
          <w:rFonts w:ascii="Arial Narrow" w:hAnsi="Arial Narrow"/>
          <w:sz w:val="52"/>
          <w:szCs w:val="52"/>
        </w:rPr>
      </w:pPr>
      <w:r w:rsidRPr="00DB3EE8">
        <w:rPr>
          <w:noProof/>
        </w:rPr>
        <w:lastRenderedPageBreak/>
        <w:drawing>
          <wp:inline distT="0" distB="0" distL="0" distR="0">
            <wp:extent cx="5731510" cy="1270566"/>
            <wp:effectExtent l="0" t="0" r="254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1270566"/>
                    </a:xfrm>
                    <a:prstGeom prst="rect">
                      <a:avLst/>
                    </a:prstGeom>
                    <a:noFill/>
                    <a:ln>
                      <a:noFill/>
                    </a:ln>
                  </pic:spPr>
                </pic:pic>
              </a:graphicData>
            </a:graphic>
          </wp:inline>
        </w:drawing>
      </w:r>
    </w:p>
    <w:p w:rsidR="002D5877" w:rsidRPr="00BF0B5C" w:rsidRDefault="002D5877" w:rsidP="00CC006D">
      <w:pPr>
        <w:pStyle w:val="NoSpacing"/>
        <w:spacing w:before="240"/>
        <w:ind w:left="720"/>
        <w:rPr>
          <w:rFonts w:ascii="Arial Narrow" w:hAnsi="Arial Narrow"/>
        </w:rPr>
      </w:pPr>
    </w:p>
    <w:p w:rsidR="002D5877" w:rsidRPr="00BF0B5C" w:rsidRDefault="00FF4C61" w:rsidP="00CC006D">
      <w:pPr>
        <w:pStyle w:val="NoSpacing"/>
        <w:spacing w:before="240"/>
        <w:ind w:left="720"/>
        <w:rPr>
          <w:rFonts w:ascii="Arial Narrow" w:hAnsi="Arial Narrow"/>
        </w:rPr>
      </w:pPr>
      <w:r w:rsidRPr="002C77A6">
        <w:rPr>
          <w:rFonts w:ascii="Arial Narrow" w:hAnsi="Arial Narrow"/>
          <w:noProof/>
          <w:sz w:val="52"/>
          <w:szCs w:val="52"/>
        </w:rPr>
        <w:drawing>
          <wp:inline distT="0" distB="0" distL="0" distR="0">
            <wp:extent cx="5731510" cy="3875816"/>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31510" cy="3875816"/>
                    </a:xfrm>
                    <a:prstGeom prst="rect">
                      <a:avLst/>
                    </a:prstGeom>
                    <a:noFill/>
                    <a:ln>
                      <a:noFill/>
                    </a:ln>
                  </pic:spPr>
                </pic:pic>
              </a:graphicData>
            </a:graphic>
          </wp:inline>
        </w:drawing>
      </w:r>
    </w:p>
    <w:p w:rsidR="002D5877" w:rsidRPr="00BF0B5C" w:rsidRDefault="002D5877" w:rsidP="00CC006D">
      <w:pPr>
        <w:pStyle w:val="NoSpacing"/>
        <w:spacing w:before="240"/>
        <w:ind w:left="720"/>
        <w:rPr>
          <w:rFonts w:ascii="Arial Narrow" w:hAnsi="Arial Narrow"/>
        </w:rPr>
      </w:pPr>
    </w:p>
    <w:p w:rsidR="002D5877" w:rsidRPr="00BF0B5C" w:rsidRDefault="002D5877" w:rsidP="00CC006D">
      <w:pPr>
        <w:pStyle w:val="NoSpacing"/>
        <w:spacing w:before="240"/>
        <w:ind w:left="720"/>
        <w:rPr>
          <w:rFonts w:ascii="Arial Narrow" w:hAnsi="Arial Narrow"/>
        </w:rPr>
      </w:pPr>
    </w:p>
    <w:p w:rsidR="002D5877" w:rsidRPr="00BF0B5C" w:rsidRDefault="00FF4C61" w:rsidP="00CC006D">
      <w:pPr>
        <w:pStyle w:val="NoSpacing"/>
        <w:spacing w:before="240"/>
        <w:ind w:left="720"/>
        <w:rPr>
          <w:rFonts w:ascii="Arial Narrow" w:hAnsi="Arial Narrow"/>
        </w:rPr>
      </w:pPr>
      <w:r w:rsidRPr="002C77A6">
        <w:rPr>
          <w:rFonts w:ascii="Arial Narrow" w:hAnsi="Arial Narrow"/>
          <w:noProof/>
          <w:sz w:val="52"/>
          <w:szCs w:val="52"/>
        </w:rPr>
        <w:lastRenderedPageBreak/>
        <w:drawing>
          <wp:inline distT="0" distB="0" distL="0" distR="0">
            <wp:extent cx="5731510" cy="6054412"/>
            <wp:effectExtent l="0" t="0" r="254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31510" cy="6054412"/>
                    </a:xfrm>
                    <a:prstGeom prst="rect">
                      <a:avLst/>
                    </a:prstGeom>
                    <a:noFill/>
                    <a:ln>
                      <a:noFill/>
                    </a:ln>
                  </pic:spPr>
                </pic:pic>
              </a:graphicData>
            </a:graphic>
          </wp:inline>
        </w:drawing>
      </w:r>
    </w:p>
    <w:p w:rsidR="002D5877" w:rsidRPr="00BF0B5C" w:rsidRDefault="002D5877" w:rsidP="00CC006D">
      <w:pPr>
        <w:pStyle w:val="NoSpacing"/>
        <w:spacing w:before="240"/>
        <w:ind w:left="720"/>
        <w:rPr>
          <w:rFonts w:ascii="Arial Narrow" w:hAnsi="Arial Narrow"/>
        </w:rPr>
      </w:pPr>
    </w:p>
    <w:p w:rsidR="002D5877" w:rsidRPr="00BF0B5C" w:rsidRDefault="002C77A6" w:rsidP="00CC006D">
      <w:pPr>
        <w:pStyle w:val="NoSpacing"/>
        <w:spacing w:before="240"/>
        <w:ind w:left="720"/>
        <w:rPr>
          <w:rFonts w:ascii="Arial Narrow" w:hAnsi="Arial Narrow"/>
        </w:rPr>
      </w:pPr>
      <w:r w:rsidRPr="002C77A6">
        <w:rPr>
          <w:rFonts w:ascii="Arial Narrow" w:hAnsi="Arial Narrow"/>
          <w:noProof/>
          <w:sz w:val="48"/>
          <w:szCs w:val="48"/>
        </w:rPr>
        <w:lastRenderedPageBreak/>
        <w:drawing>
          <wp:inline distT="0" distB="0" distL="0" distR="0">
            <wp:extent cx="5731510" cy="9356937"/>
            <wp:effectExtent l="0" t="0" r="254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1510" cy="9356937"/>
                    </a:xfrm>
                    <a:prstGeom prst="rect">
                      <a:avLst/>
                    </a:prstGeom>
                    <a:noFill/>
                    <a:ln>
                      <a:noFill/>
                    </a:ln>
                  </pic:spPr>
                </pic:pic>
              </a:graphicData>
            </a:graphic>
          </wp:inline>
        </w:drawing>
      </w:r>
    </w:p>
    <w:p w:rsidR="002D5877" w:rsidRPr="00BF0B5C" w:rsidRDefault="002C77A6" w:rsidP="00CC006D">
      <w:pPr>
        <w:pStyle w:val="NoSpacing"/>
        <w:spacing w:before="240"/>
        <w:ind w:left="720"/>
        <w:rPr>
          <w:rFonts w:ascii="Arial Narrow" w:hAnsi="Arial Narrow"/>
        </w:rPr>
      </w:pPr>
      <w:r w:rsidRPr="002C77A6">
        <w:rPr>
          <w:rFonts w:ascii="Arial Narrow" w:hAnsi="Arial Narrow"/>
          <w:noProof/>
          <w:sz w:val="52"/>
          <w:szCs w:val="52"/>
        </w:rPr>
        <w:lastRenderedPageBreak/>
        <w:drawing>
          <wp:inline distT="0" distB="0" distL="0" distR="0">
            <wp:extent cx="5731510" cy="9040121"/>
            <wp:effectExtent l="0" t="0" r="254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1510" cy="9040121"/>
                    </a:xfrm>
                    <a:prstGeom prst="rect">
                      <a:avLst/>
                    </a:prstGeom>
                    <a:noFill/>
                    <a:ln>
                      <a:noFill/>
                    </a:ln>
                  </pic:spPr>
                </pic:pic>
              </a:graphicData>
            </a:graphic>
          </wp:inline>
        </w:drawing>
      </w:r>
    </w:p>
    <w:p w:rsidR="002D5877" w:rsidRPr="00BF0B5C" w:rsidRDefault="002D5877" w:rsidP="00CC006D">
      <w:pPr>
        <w:pStyle w:val="NoSpacing"/>
        <w:spacing w:before="240"/>
        <w:ind w:left="720"/>
        <w:rPr>
          <w:rFonts w:ascii="Arial Narrow" w:hAnsi="Arial Narrow"/>
        </w:rPr>
      </w:pPr>
    </w:p>
    <w:p w:rsidR="002D5877" w:rsidRPr="00BF0B5C" w:rsidRDefault="002D5877" w:rsidP="00CC006D">
      <w:pPr>
        <w:pStyle w:val="NoSpacing"/>
        <w:spacing w:before="240"/>
        <w:ind w:left="720"/>
        <w:rPr>
          <w:rFonts w:ascii="Arial Narrow" w:hAnsi="Arial Narrow"/>
        </w:rPr>
      </w:pPr>
    </w:p>
    <w:p w:rsidR="002D5877" w:rsidRPr="00BF0B5C" w:rsidRDefault="002D5877" w:rsidP="00CC006D">
      <w:pPr>
        <w:pStyle w:val="NoSpacing"/>
        <w:spacing w:before="240"/>
        <w:ind w:left="720"/>
        <w:rPr>
          <w:rFonts w:ascii="Arial Narrow" w:hAnsi="Arial Narrow"/>
        </w:rPr>
      </w:pPr>
    </w:p>
    <w:p w:rsidR="002D5877" w:rsidRPr="00BF0B5C" w:rsidRDefault="002D5877" w:rsidP="00CC006D">
      <w:pPr>
        <w:pStyle w:val="NoSpacing"/>
        <w:spacing w:before="240"/>
        <w:ind w:left="720"/>
        <w:rPr>
          <w:rFonts w:ascii="Arial Narrow" w:hAnsi="Arial Narrow"/>
        </w:rPr>
      </w:pPr>
    </w:p>
    <w:p w:rsidR="00155840" w:rsidRPr="00BF0B5C" w:rsidRDefault="00155840" w:rsidP="003114F7">
      <w:pPr>
        <w:pStyle w:val="NoSpacing"/>
        <w:spacing w:before="240" w:line="360" w:lineRule="auto"/>
        <w:rPr>
          <w:rFonts w:ascii="Arial Narrow" w:hAnsi="Arial Narrow"/>
        </w:rPr>
      </w:pPr>
    </w:p>
    <w:sectPr w:rsidR="00155840" w:rsidRPr="00BF0B5C">
      <w:headerReference w:type="default" r:id="rId26"/>
      <w:foot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A97" w:rsidRDefault="001E5A97" w:rsidP="00E76EDF">
      <w:pPr>
        <w:spacing w:after="0" w:line="240" w:lineRule="auto"/>
      </w:pPr>
      <w:r>
        <w:separator/>
      </w:r>
    </w:p>
  </w:endnote>
  <w:endnote w:type="continuationSeparator" w:id="0">
    <w:p w:rsidR="001E5A97" w:rsidRDefault="001E5A97" w:rsidP="00E76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ertus MT Lt">
    <w:panose1 w:val="00000000000000000000"/>
    <w:charset w:val="00"/>
    <w:family w:val="auto"/>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9406344"/>
      <w:docPartObj>
        <w:docPartGallery w:val="Page Numbers (Bottom of Page)"/>
        <w:docPartUnique/>
      </w:docPartObj>
    </w:sdtPr>
    <w:sdtEndPr>
      <w:rPr>
        <w:noProof/>
      </w:rPr>
    </w:sdtEndPr>
    <w:sdtContent>
      <w:p w:rsidR="006750D1" w:rsidRDefault="006750D1">
        <w:pPr>
          <w:pStyle w:val="Footer"/>
          <w:jc w:val="right"/>
        </w:pPr>
        <w:r>
          <w:fldChar w:fldCharType="begin"/>
        </w:r>
        <w:r>
          <w:instrText xml:space="preserve"> PAGE   \* MERGEFORMAT </w:instrText>
        </w:r>
        <w:r>
          <w:fldChar w:fldCharType="separate"/>
        </w:r>
        <w:r w:rsidR="005B51D2">
          <w:rPr>
            <w:noProof/>
          </w:rPr>
          <w:t>20</w:t>
        </w:r>
        <w:r>
          <w:rPr>
            <w:noProof/>
          </w:rPr>
          <w:fldChar w:fldCharType="end"/>
        </w:r>
      </w:p>
    </w:sdtContent>
  </w:sdt>
  <w:p w:rsidR="006750D1" w:rsidRDefault="006750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A97" w:rsidRDefault="001E5A97" w:rsidP="00E76EDF">
      <w:pPr>
        <w:spacing w:after="0" w:line="240" w:lineRule="auto"/>
      </w:pPr>
      <w:r>
        <w:separator/>
      </w:r>
    </w:p>
  </w:footnote>
  <w:footnote w:type="continuationSeparator" w:id="0">
    <w:p w:rsidR="001E5A97" w:rsidRDefault="001E5A97" w:rsidP="00E76E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0D1" w:rsidRPr="00FD07BF" w:rsidRDefault="006750D1" w:rsidP="00FD07BF">
    <w:pPr>
      <w:pStyle w:val="Header"/>
      <w:jc w:val="center"/>
      <w:rPr>
        <w:rFonts w:ascii="Arial Narrow" w:hAnsi="Arial Narrow"/>
      </w:rPr>
    </w:pPr>
    <w:r w:rsidRPr="00FD07BF">
      <w:rPr>
        <w:rFonts w:ascii="Arial Narrow" w:eastAsiaTheme="majorEastAsia" w:hAnsi="Arial Narrow" w:cstheme="majorBidi"/>
      </w:rPr>
      <w:t>MID-YEAR BUDGET AND PERF</w:t>
    </w:r>
    <w:r w:rsidR="00BF0B5C">
      <w:rPr>
        <w:rFonts w:ascii="Arial Narrow" w:eastAsiaTheme="majorEastAsia" w:hAnsi="Arial Narrow" w:cstheme="majorBidi"/>
      </w:rPr>
      <w:t>OMANCE ASSESSMENT REPORT 2015/16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C475B"/>
    <w:multiLevelType w:val="hybridMultilevel"/>
    <w:tmpl w:val="93CA31C6"/>
    <w:lvl w:ilvl="0" w:tplc="29B2EAE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D84247F"/>
    <w:multiLevelType w:val="hybridMultilevel"/>
    <w:tmpl w:val="C18835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DAE7AF8"/>
    <w:multiLevelType w:val="hybridMultilevel"/>
    <w:tmpl w:val="660071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FA262C1"/>
    <w:multiLevelType w:val="multilevel"/>
    <w:tmpl w:val="DE26E53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16FA2AE5"/>
    <w:multiLevelType w:val="hybridMultilevel"/>
    <w:tmpl w:val="BB2ACA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86D327F"/>
    <w:multiLevelType w:val="multilevel"/>
    <w:tmpl w:val="AC84CBB2"/>
    <w:lvl w:ilvl="0">
      <w:start w:val="2"/>
      <w:numFmt w:val="decimal"/>
      <w:lvlText w:val="%1."/>
      <w:lvlJc w:val="left"/>
      <w:pPr>
        <w:ind w:left="360" w:hanging="360"/>
      </w:pPr>
      <w:rPr>
        <w:rFonts w:hint="default"/>
        <w:b/>
      </w:rPr>
    </w:lvl>
    <w:lvl w:ilvl="1">
      <w:start w:val="2"/>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031984"/>
    <w:multiLevelType w:val="hybridMultilevel"/>
    <w:tmpl w:val="0DE67B5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nsid w:val="2B965582"/>
    <w:multiLevelType w:val="hybridMultilevel"/>
    <w:tmpl w:val="E968CEB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nsid w:val="31F07800"/>
    <w:multiLevelType w:val="hybridMultilevel"/>
    <w:tmpl w:val="E06AEDC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nsid w:val="38666E50"/>
    <w:multiLevelType w:val="hybridMultilevel"/>
    <w:tmpl w:val="980EDC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3C5A186E"/>
    <w:multiLevelType w:val="hybridMultilevel"/>
    <w:tmpl w:val="D7E277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493C569B"/>
    <w:multiLevelType w:val="hybridMultilevel"/>
    <w:tmpl w:val="A698A3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4D255355"/>
    <w:multiLevelType w:val="hybridMultilevel"/>
    <w:tmpl w:val="1BBA21A2"/>
    <w:lvl w:ilvl="0" w:tplc="42F2990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56F37E4C"/>
    <w:multiLevelType w:val="hybridMultilevel"/>
    <w:tmpl w:val="184C7B32"/>
    <w:lvl w:ilvl="0" w:tplc="8D0C7F90">
      <w:start w:val="1"/>
      <w:numFmt w:val="decimal"/>
      <w:lvlText w:val="%1."/>
      <w:lvlJc w:val="left"/>
      <w:pPr>
        <w:ind w:left="360" w:hanging="360"/>
      </w:pPr>
      <w:rPr>
        <w:rFonts w:ascii="Arial Narrow" w:eastAsiaTheme="minorEastAsia" w:hAnsi="Arial Narrow" w:cs="Calibri"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nsid w:val="5D763C9E"/>
    <w:multiLevelType w:val="hybridMultilevel"/>
    <w:tmpl w:val="8FD088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646D7279"/>
    <w:multiLevelType w:val="hybridMultilevel"/>
    <w:tmpl w:val="A15840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65332D61"/>
    <w:multiLevelType w:val="hybridMultilevel"/>
    <w:tmpl w:val="1DE2BF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662E4AAA"/>
    <w:multiLevelType w:val="hybridMultilevel"/>
    <w:tmpl w:val="32D0E6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746F116E"/>
    <w:multiLevelType w:val="multilevel"/>
    <w:tmpl w:val="F7A876C6"/>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nsid w:val="76915FF5"/>
    <w:multiLevelType w:val="hybridMultilevel"/>
    <w:tmpl w:val="072465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78C86309"/>
    <w:multiLevelType w:val="hybridMultilevel"/>
    <w:tmpl w:val="1BE6C42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nsid w:val="79823BAC"/>
    <w:multiLevelType w:val="hybridMultilevel"/>
    <w:tmpl w:val="D47663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79EF0D00"/>
    <w:multiLevelType w:val="hybridMultilevel"/>
    <w:tmpl w:val="940293B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nsid w:val="7A7242F0"/>
    <w:multiLevelType w:val="hybridMultilevel"/>
    <w:tmpl w:val="43EC34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7"/>
  </w:num>
  <w:num w:numId="4">
    <w:abstractNumId w:val="20"/>
  </w:num>
  <w:num w:numId="5">
    <w:abstractNumId w:val="3"/>
  </w:num>
  <w:num w:numId="6">
    <w:abstractNumId w:val="23"/>
  </w:num>
  <w:num w:numId="7">
    <w:abstractNumId w:val="5"/>
  </w:num>
  <w:num w:numId="8">
    <w:abstractNumId w:val="0"/>
  </w:num>
  <w:num w:numId="9">
    <w:abstractNumId w:val="18"/>
  </w:num>
  <w:num w:numId="10">
    <w:abstractNumId w:val="6"/>
  </w:num>
  <w:num w:numId="11">
    <w:abstractNumId w:val="8"/>
  </w:num>
  <w:num w:numId="12">
    <w:abstractNumId w:val="10"/>
  </w:num>
  <w:num w:numId="13">
    <w:abstractNumId w:val="13"/>
  </w:num>
  <w:num w:numId="14">
    <w:abstractNumId w:val="11"/>
  </w:num>
  <w:num w:numId="15">
    <w:abstractNumId w:val="14"/>
  </w:num>
  <w:num w:numId="16">
    <w:abstractNumId w:val="2"/>
  </w:num>
  <w:num w:numId="17">
    <w:abstractNumId w:val="9"/>
  </w:num>
  <w:num w:numId="18">
    <w:abstractNumId w:val="21"/>
  </w:num>
  <w:num w:numId="19">
    <w:abstractNumId w:val="15"/>
  </w:num>
  <w:num w:numId="20">
    <w:abstractNumId w:val="19"/>
  </w:num>
  <w:num w:numId="21">
    <w:abstractNumId w:val="1"/>
  </w:num>
  <w:num w:numId="22">
    <w:abstractNumId w:val="17"/>
  </w:num>
  <w:num w:numId="23">
    <w:abstractNumId w:val="16"/>
  </w:num>
  <w:num w:numId="24">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239"/>
    <w:rsid w:val="00000771"/>
    <w:rsid w:val="00004B92"/>
    <w:rsid w:val="00007918"/>
    <w:rsid w:val="000215F7"/>
    <w:rsid w:val="00031A84"/>
    <w:rsid w:val="0003438D"/>
    <w:rsid w:val="00040D51"/>
    <w:rsid w:val="00042DC1"/>
    <w:rsid w:val="000433D8"/>
    <w:rsid w:val="0005285B"/>
    <w:rsid w:val="000814DB"/>
    <w:rsid w:val="000910FC"/>
    <w:rsid w:val="000B162A"/>
    <w:rsid w:val="000D77FD"/>
    <w:rsid w:val="000F72D3"/>
    <w:rsid w:val="00102F2D"/>
    <w:rsid w:val="00115B48"/>
    <w:rsid w:val="00121286"/>
    <w:rsid w:val="00136E1C"/>
    <w:rsid w:val="00143EF1"/>
    <w:rsid w:val="00155840"/>
    <w:rsid w:val="0015656D"/>
    <w:rsid w:val="00165796"/>
    <w:rsid w:val="00171794"/>
    <w:rsid w:val="0017425C"/>
    <w:rsid w:val="00175877"/>
    <w:rsid w:val="00183560"/>
    <w:rsid w:val="001A2438"/>
    <w:rsid w:val="001B4477"/>
    <w:rsid w:val="001B6342"/>
    <w:rsid w:val="001C63D8"/>
    <w:rsid w:val="001D74C9"/>
    <w:rsid w:val="001E1CC5"/>
    <w:rsid w:val="001E5A97"/>
    <w:rsid w:val="00243AD2"/>
    <w:rsid w:val="00253359"/>
    <w:rsid w:val="00270E1A"/>
    <w:rsid w:val="002860DA"/>
    <w:rsid w:val="002C77A6"/>
    <w:rsid w:val="002D5877"/>
    <w:rsid w:val="002F6DD1"/>
    <w:rsid w:val="003114F7"/>
    <w:rsid w:val="00313158"/>
    <w:rsid w:val="003243AD"/>
    <w:rsid w:val="0033412F"/>
    <w:rsid w:val="00344322"/>
    <w:rsid w:val="00370EA2"/>
    <w:rsid w:val="00384967"/>
    <w:rsid w:val="00394441"/>
    <w:rsid w:val="00396DED"/>
    <w:rsid w:val="003B1742"/>
    <w:rsid w:val="003C72E1"/>
    <w:rsid w:val="003F4571"/>
    <w:rsid w:val="003F6104"/>
    <w:rsid w:val="003F6B35"/>
    <w:rsid w:val="003F6DEB"/>
    <w:rsid w:val="003F7970"/>
    <w:rsid w:val="0040505D"/>
    <w:rsid w:val="004258B5"/>
    <w:rsid w:val="00462449"/>
    <w:rsid w:val="00464677"/>
    <w:rsid w:val="00467F12"/>
    <w:rsid w:val="004820DA"/>
    <w:rsid w:val="004E054F"/>
    <w:rsid w:val="004E3001"/>
    <w:rsid w:val="004F29BC"/>
    <w:rsid w:val="004F3F8F"/>
    <w:rsid w:val="00513ECF"/>
    <w:rsid w:val="0054158B"/>
    <w:rsid w:val="00550BAE"/>
    <w:rsid w:val="005514CE"/>
    <w:rsid w:val="00564598"/>
    <w:rsid w:val="005715C4"/>
    <w:rsid w:val="0058324E"/>
    <w:rsid w:val="00584E47"/>
    <w:rsid w:val="005952D1"/>
    <w:rsid w:val="00597C16"/>
    <w:rsid w:val="005A3A31"/>
    <w:rsid w:val="005A6481"/>
    <w:rsid w:val="005B0A47"/>
    <w:rsid w:val="005B51D2"/>
    <w:rsid w:val="005C2BE9"/>
    <w:rsid w:val="005C7EB0"/>
    <w:rsid w:val="005D1E0E"/>
    <w:rsid w:val="005D6CDD"/>
    <w:rsid w:val="005F0365"/>
    <w:rsid w:val="005F0D6F"/>
    <w:rsid w:val="00624C41"/>
    <w:rsid w:val="00646BE9"/>
    <w:rsid w:val="006478A6"/>
    <w:rsid w:val="00650136"/>
    <w:rsid w:val="0065617B"/>
    <w:rsid w:val="00665242"/>
    <w:rsid w:val="00665850"/>
    <w:rsid w:val="00667C4B"/>
    <w:rsid w:val="00672253"/>
    <w:rsid w:val="006750D1"/>
    <w:rsid w:val="006805AA"/>
    <w:rsid w:val="00681832"/>
    <w:rsid w:val="00685755"/>
    <w:rsid w:val="006871E3"/>
    <w:rsid w:val="006A0C68"/>
    <w:rsid w:val="006A2424"/>
    <w:rsid w:val="006D6716"/>
    <w:rsid w:val="006E2A2A"/>
    <w:rsid w:val="006F2B8E"/>
    <w:rsid w:val="007004E6"/>
    <w:rsid w:val="007039BB"/>
    <w:rsid w:val="00704773"/>
    <w:rsid w:val="00711E62"/>
    <w:rsid w:val="00764560"/>
    <w:rsid w:val="00764572"/>
    <w:rsid w:val="0078293D"/>
    <w:rsid w:val="0078529F"/>
    <w:rsid w:val="00796889"/>
    <w:rsid w:val="007A2303"/>
    <w:rsid w:val="007A4576"/>
    <w:rsid w:val="007A5074"/>
    <w:rsid w:val="007B41FD"/>
    <w:rsid w:val="007B7518"/>
    <w:rsid w:val="007C345F"/>
    <w:rsid w:val="007D38BF"/>
    <w:rsid w:val="007E4B65"/>
    <w:rsid w:val="007E707E"/>
    <w:rsid w:val="007F155F"/>
    <w:rsid w:val="00811949"/>
    <w:rsid w:val="00815498"/>
    <w:rsid w:val="0081783D"/>
    <w:rsid w:val="00817DD2"/>
    <w:rsid w:val="0086595F"/>
    <w:rsid w:val="008725C9"/>
    <w:rsid w:val="0089004C"/>
    <w:rsid w:val="00892854"/>
    <w:rsid w:val="008A2ED8"/>
    <w:rsid w:val="008B0052"/>
    <w:rsid w:val="008B7B46"/>
    <w:rsid w:val="008C0101"/>
    <w:rsid w:val="008C5EEA"/>
    <w:rsid w:val="008D628F"/>
    <w:rsid w:val="008E0530"/>
    <w:rsid w:val="008E1F9F"/>
    <w:rsid w:val="008F76C0"/>
    <w:rsid w:val="009001E2"/>
    <w:rsid w:val="009009F9"/>
    <w:rsid w:val="009303E5"/>
    <w:rsid w:val="009338EC"/>
    <w:rsid w:val="00936197"/>
    <w:rsid w:val="009540C1"/>
    <w:rsid w:val="00982BFB"/>
    <w:rsid w:val="009B0667"/>
    <w:rsid w:val="009B2444"/>
    <w:rsid w:val="009B26F5"/>
    <w:rsid w:val="009C52D1"/>
    <w:rsid w:val="009E4E8E"/>
    <w:rsid w:val="009E5FA8"/>
    <w:rsid w:val="009E7FF1"/>
    <w:rsid w:val="009F1D80"/>
    <w:rsid w:val="00A0054F"/>
    <w:rsid w:val="00A04719"/>
    <w:rsid w:val="00A16003"/>
    <w:rsid w:val="00A1657E"/>
    <w:rsid w:val="00A32920"/>
    <w:rsid w:val="00A331DC"/>
    <w:rsid w:val="00A56938"/>
    <w:rsid w:val="00A626B3"/>
    <w:rsid w:val="00A7691A"/>
    <w:rsid w:val="00A771E5"/>
    <w:rsid w:val="00A82F06"/>
    <w:rsid w:val="00A957C4"/>
    <w:rsid w:val="00AA6501"/>
    <w:rsid w:val="00AB1EF9"/>
    <w:rsid w:val="00AB315E"/>
    <w:rsid w:val="00AB3425"/>
    <w:rsid w:val="00AD7537"/>
    <w:rsid w:val="00AE101C"/>
    <w:rsid w:val="00AF1C71"/>
    <w:rsid w:val="00AF2A98"/>
    <w:rsid w:val="00B03F8E"/>
    <w:rsid w:val="00B076BE"/>
    <w:rsid w:val="00B13F87"/>
    <w:rsid w:val="00B172E8"/>
    <w:rsid w:val="00B2326E"/>
    <w:rsid w:val="00B315E8"/>
    <w:rsid w:val="00B421CF"/>
    <w:rsid w:val="00B47525"/>
    <w:rsid w:val="00B529FC"/>
    <w:rsid w:val="00B5623D"/>
    <w:rsid w:val="00B62E76"/>
    <w:rsid w:val="00B70138"/>
    <w:rsid w:val="00B86D0F"/>
    <w:rsid w:val="00B93227"/>
    <w:rsid w:val="00BB26BF"/>
    <w:rsid w:val="00BC3E59"/>
    <w:rsid w:val="00BC747B"/>
    <w:rsid w:val="00BE4925"/>
    <w:rsid w:val="00BE5D66"/>
    <w:rsid w:val="00BF0B5C"/>
    <w:rsid w:val="00BF13E7"/>
    <w:rsid w:val="00BF4FD5"/>
    <w:rsid w:val="00C13E89"/>
    <w:rsid w:val="00C35AB1"/>
    <w:rsid w:val="00C3663C"/>
    <w:rsid w:val="00C40CC3"/>
    <w:rsid w:val="00C7727F"/>
    <w:rsid w:val="00C84081"/>
    <w:rsid w:val="00C878B2"/>
    <w:rsid w:val="00CA13F5"/>
    <w:rsid w:val="00CA1C3A"/>
    <w:rsid w:val="00CC006D"/>
    <w:rsid w:val="00CC52AB"/>
    <w:rsid w:val="00CD22F1"/>
    <w:rsid w:val="00CD29BB"/>
    <w:rsid w:val="00CD63B8"/>
    <w:rsid w:val="00CE2D9A"/>
    <w:rsid w:val="00CE3402"/>
    <w:rsid w:val="00CE79AC"/>
    <w:rsid w:val="00CF4838"/>
    <w:rsid w:val="00D317C5"/>
    <w:rsid w:val="00D42522"/>
    <w:rsid w:val="00D46239"/>
    <w:rsid w:val="00D51C82"/>
    <w:rsid w:val="00D545D6"/>
    <w:rsid w:val="00DB164D"/>
    <w:rsid w:val="00DB3EE8"/>
    <w:rsid w:val="00DB78B1"/>
    <w:rsid w:val="00DD2383"/>
    <w:rsid w:val="00DD287E"/>
    <w:rsid w:val="00DD74C4"/>
    <w:rsid w:val="00DD7905"/>
    <w:rsid w:val="00DF0C98"/>
    <w:rsid w:val="00DF1201"/>
    <w:rsid w:val="00DF16AB"/>
    <w:rsid w:val="00DF5E33"/>
    <w:rsid w:val="00E120F1"/>
    <w:rsid w:val="00E135BB"/>
    <w:rsid w:val="00E2315D"/>
    <w:rsid w:val="00E24B86"/>
    <w:rsid w:val="00E3149A"/>
    <w:rsid w:val="00E43EB1"/>
    <w:rsid w:val="00E526D6"/>
    <w:rsid w:val="00E55BDD"/>
    <w:rsid w:val="00E72BDE"/>
    <w:rsid w:val="00E76EDF"/>
    <w:rsid w:val="00E869C9"/>
    <w:rsid w:val="00E90B7D"/>
    <w:rsid w:val="00E97AFF"/>
    <w:rsid w:val="00EB3E89"/>
    <w:rsid w:val="00EB6339"/>
    <w:rsid w:val="00EC234C"/>
    <w:rsid w:val="00EC371C"/>
    <w:rsid w:val="00EE0AE9"/>
    <w:rsid w:val="00EE1752"/>
    <w:rsid w:val="00F03F96"/>
    <w:rsid w:val="00F13D7A"/>
    <w:rsid w:val="00F16DE8"/>
    <w:rsid w:val="00F209D6"/>
    <w:rsid w:val="00F345A7"/>
    <w:rsid w:val="00F4655F"/>
    <w:rsid w:val="00F52A0D"/>
    <w:rsid w:val="00F553D0"/>
    <w:rsid w:val="00F617EE"/>
    <w:rsid w:val="00F64A2D"/>
    <w:rsid w:val="00F66CDA"/>
    <w:rsid w:val="00F713E9"/>
    <w:rsid w:val="00F73475"/>
    <w:rsid w:val="00F81ABB"/>
    <w:rsid w:val="00F85E08"/>
    <w:rsid w:val="00FA02A8"/>
    <w:rsid w:val="00FB71A6"/>
    <w:rsid w:val="00FB7ABB"/>
    <w:rsid w:val="00FC1F06"/>
    <w:rsid w:val="00FC5B19"/>
    <w:rsid w:val="00FC68CC"/>
    <w:rsid w:val="00FD07BF"/>
    <w:rsid w:val="00FD7DAC"/>
    <w:rsid w:val="00FE0ECA"/>
    <w:rsid w:val="00FE3795"/>
    <w:rsid w:val="00FF4C6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66E1CBB6-D205-4384-8E98-50694789D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239"/>
    <w:pPr>
      <w:spacing w:after="200" w:line="276" w:lineRule="auto"/>
    </w:pPr>
    <w:rPr>
      <w:rFonts w:eastAsiaTheme="minorEastAsia"/>
      <w:lang w:eastAsia="en-ZA"/>
    </w:rPr>
  </w:style>
  <w:style w:type="paragraph" w:styleId="Heading1">
    <w:name w:val="heading 1"/>
    <w:basedOn w:val="Normal"/>
    <w:next w:val="Normal"/>
    <w:link w:val="Heading1Char"/>
    <w:uiPriority w:val="9"/>
    <w:qFormat/>
    <w:rsid w:val="00D462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462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4623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239"/>
    <w:pPr>
      <w:ind w:left="720"/>
      <w:contextualSpacing/>
    </w:pPr>
  </w:style>
  <w:style w:type="paragraph" w:styleId="NoSpacing">
    <w:name w:val="No Spacing"/>
    <w:link w:val="NoSpacingChar"/>
    <w:uiPriority w:val="1"/>
    <w:qFormat/>
    <w:rsid w:val="00D46239"/>
    <w:pPr>
      <w:spacing w:after="0" w:line="240" w:lineRule="auto"/>
    </w:pPr>
    <w:rPr>
      <w:rFonts w:eastAsiaTheme="minorEastAsia"/>
      <w:lang w:eastAsia="en-ZA"/>
    </w:rPr>
  </w:style>
  <w:style w:type="character" w:customStyle="1" w:styleId="Heading1Char">
    <w:name w:val="Heading 1 Char"/>
    <w:basedOn w:val="DefaultParagraphFont"/>
    <w:link w:val="Heading1"/>
    <w:uiPriority w:val="9"/>
    <w:rsid w:val="00D46239"/>
    <w:rPr>
      <w:rFonts w:asciiTheme="majorHAnsi" w:eastAsiaTheme="majorEastAsia" w:hAnsiTheme="majorHAnsi" w:cstheme="majorBidi"/>
      <w:color w:val="2E74B5" w:themeColor="accent1" w:themeShade="BF"/>
      <w:sz w:val="32"/>
      <w:szCs w:val="32"/>
      <w:lang w:eastAsia="en-ZA"/>
    </w:rPr>
  </w:style>
  <w:style w:type="character" w:customStyle="1" w:styleId="Heading2Char">
    <w:name w:val="Heading 2 Char"/>
    <w:basedOn w:val="DefaultParagraphFont"/>
    <w:link w:val="Heading2"/>
    <w:uiPriority w:val="9"/>
    <w:rsid w:val="00D46239"/>
    <w:rPr>
      <w:rFonts w:asciiTheme="majorHAnsi" w:eastAsiaTheme="majorEastAsia" w:hAnsiTheme="majorHAnsi" w:cstheme="majorBidi"/>
      <w:color w:val="2E74B5" w:themeColor="accent1" w:themeShade="BF"/>
      <w:sz w:val="26"/>
      <w:szCs w:val="26"/>
      <w:lang w:eastAsia="en-ZA"/>
    </w:rPr>
  </w:style>
  <w:style w:type="character" w:customStyle="1" w:styleId="Heading3Char">
    <w:name w:val="Heading 3 Char"/>
    <w:basedOn w:val="DefaultParagraphFont"/>
    <w:link w:val="Heading3"/>
    <w:uiPriority w:val="9"/>
    <w:rsid w:val="00D46239"/>
    <w:rPr>
      <w:rFonts w:asciiTheme="majorHAnsi" w:eastAsiaTheme="majorEastAsia" w:hAnsiTheme="majorHAnsi" w:cstheme="majorBidi"/>
      <w:color w:val="1F4D78" w:themeColor="accent1" w:themeShade="7F"/>
      <w:sz w:val="24"/>
      <w:szCs w:val="24"/>
      <w:lang w:eastAsia="en-ZA"/>
    </w:rPr>
  </w:style>
  <w:style w:type="paragraph" w:styleId="Title">
    <w:name w:val="Title"/>
    <w:basedOn w:val="Normal"/>
    <w:next w:val="Normal"/>
    <w:link w:val="TitleChar"/>
    <w:uiPriority w:val="10"/>
    <w:qFormat/>
    <w:rsid w:val="00D462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6239"/>
    <w:rPr>
      <w:rFonts w:asciiTheme="majorHAnsi" w:eastAsiaTheme="majorEastAsia" w:hAnsiTheme="majorHAnsi" w:cstheme="majorBidi"/>
      <w:spacing w:val="-10"/>
      <w:kern w:val="28"/>
      <w:sz w:val="56"/>
      <w:szCs w:val="56"/>
      <w:lang w:eastAsia="en-ZA"/>
    </w:rPr>
  </w:style>
  <w:style w:type="paragraph" w:styleId="Subtitle">
    <w:name w:val="Subtitle"/>
    <w:basedOn w:val="Normal"/>
    <w:next w:val="Normal"/>
    <w:link w:val="SubtitleChar"/>
    <w:uiPriority w:val="11"/>
    <w:qFormat/>
    <w:rsid w:val="00D46239"/>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rsid w:val="00D46239"/>
    <w:rPr>
      <w:rFonts w:eastAsiaTheme="minorEastAsia"/>
      <w:color w:val="5A5A5A" w:themeColor="text1" w:themeTint="A5"/>
      <w:spacing w:val="15"/>
      <w:lang w:eastAsia="en-ZA"/>
    </w:rPr>
  </w:style>
  <w:style w:type="character" w:customStyle="1" w:styleId="NoSpacingChar">
    <w:name w:val="No Spacing Char"/>
    <w:basedOn w:val="DefaultParagraphFont"/>
    <w:link w:val="NoSpacing"/>
    <w:uiPriority w:val="1"/>
    <w:rsid w:val="00D46239"/>
    <w:rPr>
      <w:rFonts w:eastAsiaTheme="minorEastAsia"/>
      <w:lang w:eastAsia="en-ZA"/>
    </w:rPr>
  </w:style>
  <w:style w:type="paragraph" w:styleId="Header">
    <w:name w:val="header"/>
    <w:basedOn w:val="Normal"/>
    <w:link w:val="HeaderChar"/>
    <w:uiPriority w:val="99"/>
    <w:unhideWhenUsed/>
    <w:rsid w:val="00E76E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6EDF"/>
    <w:rPr>
      <w:rFonts w:eastAsiaTheme="minorEastAsia"/>
      <w:lang w:eastAsia="en-ZA"/>
    </w:rPr>
  </w:style>
  <w:style w:type="paragraph" w:styleId="Footer">
    <w:name w:val="footer"/>
    <w:basedOn w:val="Normal"/>
    <w:link w:val="FooterChar"/>
    <w:uiPriority w:val="99"/>
    <w:unhideWhenUsed/>
    <w:rsid w:val="00E76E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6EDF"/>
    <w:rPr>
      <w:rFonts w:eastAsiaTheme="minorEastAsia"/>
      <w:lang w:eastAsia="en-ZA"/>
    </w:rPr>
  </w:style>
  <w:style w:type="paragraph" w:styleId="BalloonText">
    <w:name w:val="Balloon Text"/>
    <w:basedOn w:val="Normal"/>
    <w:link w:val="BalloonTextChar"/>
    <w:uiPriority w:val="99"/>
    <w:semiHidden/>
    <w:unhideWhenUsed/>
    <w:rsid w:val="00396D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DED"/>
    <w:rPr>
      <w:rFonts w:ascii="Tahoma" w:eastAsiaTheme="minorEastAsia" w:hAnsi="Tahoma" w:cs="Tahoma"/>
      <w:sz w:val="16"/>
      <w:szCs w:val="16"/>
      <w:lang w:eastAsia="en-ZA"/>
    </w:rPr>
  </w:style>
  <w:style w:type="table" w:styleId="TableGrid">
    <w:name w:val="Table Grid"/>
    <w:basedOn w:val="TableNormal"/>
    <w:uiPriority w:val="39"/>
    <w:rsid w:val="00F85E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F3F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725C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577823">
      <w:bodyDiv w:val="1"/>
      <w:marLeft w:val="0"/>
      <w:marRight w:val="0"/>
      <w:marTop w:val="0"/>
      <w:marBottom w:val="0"/>
      <w:divBdr>
        <w:top w:val="none" w:sz="0" w:space="0" w:color="auto"/>
        <w:left w:val="none" w:sz="0" w:space="0" w:color="auto"/>
        <w:bottom w:val="none" w:sz="0" w:space="0" w:color="auto"/>
        <w:right w:val="none" w:sz="0" w:space="0" w:color="auto"/>
      </w:divBdr>
      <w:divsChild>
        <w:div w:id="210381884">
          <w:marLeft w:val="504"/>
          <w:marRight w:val="0"/>
          <w:marTop w:val="140"/>
          <w:marBottom w:val="0"/>
          <w:divBdr>
            <w:top w:val="none" w:sz="0" w:space="0" w:color="auto"/>
            <w:left w:val="none" w:sz="0" w:space="0" w:color="auto"/>
            <w:bottom w:val="none" w:sz="0" w:space="0" w:color="auto"/>
            <w:right w:val="none" w:sz="0" w:space="0" w:color="auto"/>
          </w:divBdr>
        </w:div>
      </w:divsChild>
    </w:div>
    <w:div w:id="498664576">
      <w:bodyDiv w:val="1"/>
      <w:marLeft w:val="0"/>
      <w:marRight w:val="0"/>
      <w:marTop w:val="0"/>
      <w:marBottom w:val="0"/>
      <w:divBdr>
        <w:top w:val="none" w:sz="0" w:space="0" w:color="auto"/>
        <w:left w:val="none" w:sz="0" w:space="0" w:color="auto"/>
        <w:bottom w:val="none" w:sz="0" w:space="0" w:color="auto"/>
        <w:right w:val="none" w:sz="0" w:space="0" w:color="auto"/>
      </w:divBdr>
      <w:divsChild>
        <w:div w:id="1582645126">
          <w:marLeft w:val="504"/>
          <w:marRight w:val="0"/>
          <w:marTop w:val="140"/>
          <w:marBottom w:val="0"/>
          <w:divBdr>
            <w:top w:val="none" w:sz="0" w:space="0" w:color="auto"/>
            <w:left w:val="none" w:sz="0" w:space="0" w:color="auto"/>
            <w:bottom w:val="none" w:sz="0" w:space="0" w:color="auto"/>
            <w:right w:val="none" w:sz="0" w:space="0" w:color="auto"/>
          </w:divBdr>
        </w:div>
        <w:div w:id="637802859">
          <w:marLeft w:val="504"/>
          <w:marRight w:val="0"/>
          <w:marTop w:val="140"/>
          <w:marBottom w:val="0"/>
          <w:divBdr>
            <w:top w:val="none" w:sz="0" w:space="0" w:color="auto"/>
            <w:left w:val="none" w:sz="0" w:space="0" w:color="auto"/>
            <w:bottom w:val="none" w:sz="0" w:space="0" w:color="auto"/>
            <w:right w:val="none" w:sz="0" w:space="0" w:color="auto"/>
          </w:divBdr>
        </w:div>
      </w:divsChild>
    </w:div>
    <w:div w:id="1127773286">
      <w:bodyDiv w:val="1"/>
      <w:marLeft w:val="0"/>
      <w:marRight w:val="0"/>
      <w:marTop w:val="0"/>
      <w:marBottom w:val="0"/>
      <w:divBdr>
        <w:top w:val="none" w:sz="0" w:space="0" w:color="auto"/>
        <w:left w:val="none" w:sz="0" w:space="0" w:color="auto"/>
        <w:bottom w:val="none" w:sz="0" w:space="0" w:color="auto"/>
        <w:right w:val="none" w:sz="0" w:space="0" w:color="auto"/>
      </w:divBdr>
    </w:div>
    <w:div w:id="1510439233">
      <w:bodyDiv w:val="1"/>
      <w:marLeft w:val="0"/>
      <w:marRight w:val="0"/>
      <w:marTop w:val="0"/>
      <w:marBottom w:val="0"/>
      <w:divBdr>
        <w:top w:val="none" w:sz="0" w:space="0" w:color="auto"/>
        <w:left w:val="none" w:sz="0" w:space="0" w:color="auto"/>
        <w:bottom w:val="none" w:sz="0" w:space="0" w:color="auto"/>
        <w:right w:val="none" w:sz="0" w:space="0" w:color="auto"/>
      </w:divBdr>
    </w:div>
    <w:div w:id="1543053953">
      <w:bodyDiv w:val="1"/>
      <w:marLeft w:val="0"/>
      <w:marRight w:val="0"/>
      <w:marTop w:val="0"/>
      <w:marBottom w:val="0"/>
      <w:divBdr>
        <w:top w:val="none" w:sz="0" w:space="0" w:color="auto"/>
        <w:left w:val="none" w:sz="0" w:space="0" w:color="auto"/>
        <w:bottom w:val="none" w:sz="0" w:space="0" w:color="auto"/>
        <w:right w:val="none" w:sz="0" w:space="0" w:color="auto"/>
      </w:divBdr>
    </w:div>
    <w:div w:id="1855220808">
      <w:bodyDiv w:val="1"/>
      <w:marLeft w:val="0"/>
      <w:marRight w:val="0"/>
      <w:marTop w:val="0"/>
      <w:marBottom w:val="0"/>
      <w:divBdr>
        <w:top w:val="none" w:sz="0" w:space="0" w:color="auto"/>
        <w:left w:val="none" w:sz="0" w:space="0" w:color="auto"/>
        <w:bottom w:val="none" w:sz="0" w:space="0" w:color="auto"/>
        <w:right w:val="none" w:sz="0" w:space="0" w:color="auto"/>
      </w:divBdr>
      <w:divsChild>
        <w:div w:id="1328554893">
          <w:marLeft w:val="504"/>
          <w:marRight w:val="0"/>
          <w:marTop w:val="140"/>
          <w:marBottom w:val="0"/>
          <w:divBdr>
            <w:top w:val="none" w:sz="0" w:space="0" w:color="auto"/>
            <w:left w:val="none" w:sz="0" w:space="0" w:color="auto"/>
            <w:bottom w:val="none" w:sz="0" w:space="0" w:color="auto"/>
            <w:right w:val="none" w:sz="0" w:space="0" w:color="auto"/>
          </w:divBdr>
        </w:div>
      </w:divsChild>
    </w:div>
    <w:div w:id="2010986369">
      <w:bodyDiv w:val="1"/>
      <w:marLeft w:val="0"/>
      <w:marRight w:val="0"/>
      <w:marTop w:val="0"/>
      <w:marBottom w:val="0"/>
      <w:divBdr>
        <w:top w:val="none" w:sz="0" w:space="0" w:color="auto"/>
        <w:left w:val="none" w:sz="0" w:space="0" w:color="auto"/>
        <w:bottom w:val="none" w:sz="0" w:space="0" w:color="auto"/>
        <w:right w:val="none" w:sz="0" w:space="0" w:color="auto"/>
      </w:divBdr>
    </w:div>
    <w:div w:id="2113280150">
      <w:bodyDiv w:val="1"/>
      <w:marLeft w:val="0"/>
      <w:marRight w:val="0"/>
      <w:marTop w:val="0"/>
      <w:marBottom w:val="0"/>
      <w:divBdr>
        <w:top w:val="none" w:sz="0" w:space="0" w:color="auto"/>
        <w:left w:val="none" w:sz="0" w:space="0" w:color="auto"/>
        <w:bottom w:val="none" w:sz="0" w:space="0" w:color="auto"/>
        <w:right w:val="none" w:sz="0" w:space="0" w:color="auto"/>
      </w:divBdr>
      <w:divsChild>
        <w:div w:id="1230456500">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Arial Narrow" panose="020B0606020202030204" pitchFamily="34" charset="0"/>
                <a:ea typeface="+mn-ea"/>
                <a:cs typeface="+mn-cs"/>
              </a:defRPr>
            </a:pPr>
            <a:r>
              <a:rPr lang="en-ZA" sz="1100">
                <a:latin typeface="Arial Narrow" panose="020B0606020202030204" pitchFamily="34" charset="0"/>
              </a:rPr>
              <a:t>Debtor's Age</a:t>
            </a:r>
            <a:r>
              <a:rPr lang="en-ZA" sz="1100" baseline="0">
                <a:latin typeface="Arial Narrow" panose="020B0606020202030204" pitchFamily="34" charset="0"/>
              </a:rPr>
              <a:t> Analysis per service rendered</a:t>
            </a:r>
            <a:endParaRPr lang="en-ZA" sz="1100">
              <a:latin typeface="Arial Narrow" panose="020B0606020202030204" pitchFamily="34" charset="0"/>
            </a:endParaRPr>
          </a:p>
        </c:rich>
      </c:tx>
      <c:layout/>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Arial Narrow" panose="020B0606020202030204" pitchFamily="34" charset="0"/>
              <a:ea typeface="+mn-ea"/>
              <a:cs typeface="+mn-cs"/>
            </a:defRPr>
          </a:pPr>
          <a:endParaRPr lang="en-US"/>
        </a:p>
      </c:txPr>
    </c:title>
    <c:autoTitleDeleted val="0"/>
    <c:plotArea>
      <c:layout/>
      <c:lineChart>
        <c:grouping val="standard"/>
        <c:varyColors val="0"/>
        <c:ser>
          <c:idx val="0"/>
          <c:order val="0"/>
          <c:tx>
            <c:strRef>
              <c:f>Sheet1!$B$1</c:f>
              <c:strCache>
                <c:ptCount val="1"/>
                <c:pt idx="0">
                  <c:v>Current</c:v>
                </c:pt>
              </c:strCache>
            </c:strRef>
          </c:tx>
          <c:spPr>
            <a:ln w="28575" cap="rnd">
              <a:solidFill>
                <a:schemeClr val="accent1"/>
              </a:solidFill>
              <a:round/>
            </a:ln>
            <a:effectLst/>
          </c:spPr>
          <c:marker>
            <c:symbol val="none"/>
          </c:marker>
          <c:cat>
            <c:strRef>
              <c:f>Sheet1!$A$2:$A$7</c:f>
              <c:strCache>
                <c:ptCount val="6"/>
                <c:pt idx="0">
                  <c:v>Water</c:v>
                </c:pt>
                <c:pt idx="1">
                  <c:v>Electricity</c:v>
                </c:pt>
                <c:pt idx="2">
                  <c:v>Sewerage</c:v>
                </c:pt>
                <c:pt idx="3">
                  <c:v>Refuse</c:v>
                </c:pt>
                <c:pt idx="4">
                  <c:v>Rates</c:v>
                </c:pt>
                <c:pt idx="5">
                  <c:v>Other</c:v>
                </c:pt>
              </c:strCache>
            </c:strRef>
          </c:cat>
          <c:val>
            <c:numRef>
              <c:f>Sheet1!$B$2:$B$7</c:f>
              <c:numCache>
                <c:formatCode>General</c:formatCode>
                <c:ptCount val="6"/>
                <c:pt idx="0">
                  <c:v>18060775.399999999</c:v>
                </c:pt>
                <c:pt idx="1">
                  <c:v>43676309.200000003</c:v>
                </c:pt>
                <c:pt idx="2">
                  <c:v>67305</c:v>
                </c:pt>
                <c:pt idx="3">
                  <c:v>2358590.85</c:v>
                </c:pt>
                <c:pt idx="4">
                  <c:v>60328930.93</c:v>
                </c:pt>
                <c:pt idx="5">
                  <c:v>562388.18000000005</c:v>
                </c:pt>
              </c:numCache>
            </c:numRef>
          </c:val>
          <c:smooth val="0"/>
        </c:ser>
        <c:ser>
          <c:idx val="1"/>
          <c:order val="1"/>
          <c:tx>
            <c:strRef>
              <c:f>Sheet1!$C$1</c:f>
              <c:strCache>
                <c:ptCount val="1"/>
                <c:pt idx="0">
                  <c:v>30 Days</c:v>
                </c:pt>
              </c:strCache>
            </c:strRef>
          </c:tx>
          <c:spPr>
            <a:ln w="28575" cap="rnd">
              <a:solidFill>
                <a:schemeClr val="accent2"/>
              </a:solidFill>
              <a:round/>
            </a:ln>
            <a:effectLst/>
          </c:spPr>
          <c:marker>
            <c:symbol val="none"/>
          </c:marker>
          <c:cat>
            <c:strRef>
              <c:f>Sheet1!$A$2:$A$7</c:f>
              <c:strCache>
                <c:ptCount val="6"/>
                <c:pt idx="0">
                  <c:v>Water</c:v>
                </c:pt>
                <c:pt idx="1">
                  <c:v>Electricity</c:v>
                </c:pt>
                <c:pt idx="2">
                  <c:v>Sewerage</c:v>
                </c:pt>
                <c:pt idx="3">
                  <c:v>Refuse</c:v>
                </c:pt>
                <c:pt idx="4">
                  <c:v>Rates</c:v>
                </c:pt>
                <c:pt idx="5">
                  <c:v>Other</c:v>
                </c:pt>
              </c:strCache>
            </c:strRef>
          </c:cat>
          <c:val>
            <c:numRef>
              <c:f>Sheet1!$C$2:$C$7</c:f>
              <c:numCache>
                <c:formatCode>General</c:formatCode>
                <c:ptCount val="6"/>
                <c:pt idx="0">
                  <c:v>2890248.2</c:v>
                </c:pt>
                <c:pt idx="1">
                  <c:v>17728877.09</c:v>
                </c:pt>
                <c:pt idx="2">
                  <c:v>0</c:v>
                </c:pt>
                <c:pt idx="3">
                  <c:v>552904.44999999995</c:v>
                </c:pt>
                <c:pt idx="4">
                  <c:v>4301692.22</c:v>
                </c:pt>
                <c:pt idx="5">
                  <c:v>343236.53</c:v>
                </c:pt>
              </c:numCache>
            </c:numRef>
          </c:val>
          <c:smooth val="0"/>
        </c:ser>
        <c:ser>
          <c:idx val="2"/>
          <c:order val="2"/>
          <c:tx>
            <c:strRef>
              <c:f>Sheet1!$D$1</c:f>
              <c:strCache>
                <c:ptCount val="1"/>
                <c:pt idx="0">
                  <c:v>60 Days</c:v>
                </c:pt>
              </c:strCache>
            </c:strRef>
          </c:tx>
          <c:spPr>
            <a:ln w="28575" cap="rnd">
              <a:solidFill>
                <a:schemeClr val="accent3"/>
              </a:solidFill>
              <a:round/>
            </a:ln>
            <a:effectLst/>
          </c:spPr>
          <c:marker>
            <c:symbol val="none"/>
          </c:marker>
          <c:cat>
            <c:strRef>
              <c:f>Sheet1!$A$2:$A$7</c:f>
              <c:strCache>
                <c:ptCount val="6"/>
                <c:pt idx="0">
                  <c:v>Water</c:v>
                </c:pt>
                <c:pt idx="1">
                  <c:v>Electricity</c:v>
                </c:pt>
                <c:pt idx="2">
                  <c:v>Sewerage</c:v>
                </c:pt>
                <c:pt idx="3">
                  <c:v>Refuse</c:v>
                </c:pt>
                <c:pt idx="4">
                  <c:v>Rates</c:v>
                </c:pt>
                <c:pt idx="5">
                  <c:v>Other</c:v>
                </c:pt>
              </c:strCache>
            </c:strRef>
          </c:cat>
          <c:val>
            <c:numRef>
              <c:f>Sheet1!$D$2:$D$7</c:f>
              <c:numCache>
                <c:formatCode>General</c:formatCode>
                <c:ptCount val="6"/>
                <c:pt idx="0">
                  <c:v>2500145.4300000002</c:v>
                </c:pt>
                <c:pt idx="1">
                  <c:v>3880866.75</c:v>
                </c:pt>
                <c:pt idx="2">
                  <c:v>0</c:v>
                </c:pt>
                <c:pt idx="3">
                  <c:v>485005.4</c:v>
                </c:pt>
                <c:pt idx="4">
                  <c:v>3076744.27</c:v>
                </c:pt>
                <c:pt idx="5">
                  <c:v>167495.22</c:v>
                </c:pt>
              </c:numCache>
            </c:numRef>
          </c:val>
          <c:smooth val="0"/>
        </c:ser>
        <c:ser>
          <c:idx val="3"/>
          <c:order val="3"/>
          <c:tx>
            <c:strRef>
              <c:f>Sheet1!$E$1</c:f>
              <c:strCache>
                <c:ptCount val="1"/>
                <c:pt idx="0">
                  <c:v>90 Days</c:v>
                </c:pt>
              </c:strCache>
            </c:strRef>
          </c:tx>
          <c:spPr>
            <a:ln w="28575" cap="rnd">
              <a:solidFill>
                <a:schemeClr val="accent4"/>
              </a:solidFill>
              <a:round/>
            </a:ln>
            <a:effectLst/>
          </c:spPr>
          <c:marker>
            <c:symbol val="none"/>
          </c:marker>
          <c:cat>
            <c:strRef>
              <c:f>Sheet1!$A$2:$A$7</c:f>
              <c:strCache>
                <c:ptCount val="6"/>
                <c:pt idx="0">
                  <c:v>Water</c:v>
                </c:pt>
                <c:pt idx="1">
                  <c:v>Electricity</c:v>
                </c:pt>
                <c:pt idx="2">
                  <c:v>Sewerage</c:v>
                </c:pt>
                <c:pt idx="3">
                  <c:v>Refuse</c:v>
                </c:pt>
                <c:pt idx="4">
                  <c:v>Rates</c:v>
                </c:pt>
                <c:pt idx="5">
                  <c:v>Other</c:v>
                </c:pt>
              </c:strCache>
            </c:strRef>
          </c:cat>
          <c:val>
            <c:numRef>
              <c:f>Sheet1!$E$2:$E$7</c:f>
              <c:numCache>
                <c:formatCode>General</c:formatCode>
                <c:ptCount val="6"/>
                <c:pt idx="0">
                  <c:v>2487125.06</c:v>
                </c:pt>
                <c:pt idx="1">
                  <c:v>1963199.03</c:v>
                </c:pt>
                <c:pt idx="2">
                  <c:v>0</c:v>
                </c:pt>
                <c:pt idx="3">
                  <c:v>470312.49</c:v>
                </c:pt>
                <c:pt idx="4">
                  <c:v>2662057.2000000002</c:v>
                </c:pt>
                <c:pt idx="5">
                  <c:v>898110.57</c:v>
                </c:pt>
              </c:numCache>
            </c:numRef>
          </c:val>
          <c:smooth val="0"/>
        </c:ser>
        <c:ser>
          <c:idx val="4"/>
          <c:order val="4"/>
          <c:tx>
            <c:strRef>
              <c:f>Sheet1!$F$1</c:f>
              <c:strCache>
                <c:ptCount val="1"/>
                <c:pt idx="0">
                  <c:v>120 Days</c:v>
                </c:pt>
              </c:strCache>
            </c:strRef>
          </c:tx>
          <c:spPr>
            <a:ln w="28575" cap="rnd">
              <a:solidFill>
                <a:schemeClr val="accent5"/>
              </a:solidFill>
              <a:round/>
            </a:ln>
            <a:effectLst/>
          </c:spPr>
          <c:marker>
            <c:symbol val="none"/>
          </c:marker>
          <c:cat>
            <c:strRef>
              <c:f>Sheet1!$A$2:$A$7</c:f>
              <c:strCache>
                <c:ptCount val="6"/>
                <c:pt idx="0">
                  <c:v>Water</c:v>
                </c:pt>
                <c:pt idx="1">
                  <c:v>Electricity</c:v>
                </c:pt>
                <c:pt idx="2">
                  <c:v>Sewerage</c:v>
                </c:pt>
                <c:pt idx="3">
                  <c:v>Refuse</c:v>
                </c:pt>
                <c:pt idx="4">
                  <c:v>Rates</c:v>
                </c:pt>
                <c:pt idx="5">
                  <c:v>Other</c:v>
                </c:pt>
              </c:strCache>
            </c:strRef>
          </c:cat>
          <c:val>
            <c:numRef>
              <c:f>Sheet1!$F$2:$F$7</c:f>
              <c:numCache>
                <c:formatCode>General</c:formatCode>
                <c:ptCount val="6"/>
                <c:pt idx="0">
                  <c:v>22121954.489999998</c:v>
                </c:pt>
                <c:pt idx="1">
                  <c:v>17145555.850000001</c:v>
                </c:pt>
                <c:pt idx="2">
                  <c:v>55296.6</c:v>
                </c:pt>
                <c:pt idx="3">
                  <c:v>16328260.4</c:v>
                </c:pt>
                <c:pt idx="4">
                  <c:v>106152018.15000001</c:v>
                </c:pt>
                <c:pt idx="5">
                  <c:v>11221271.26</c:v>
                </c:pt>
              </c:numCache>
            </c:numRef>
          </c:val>
          <c:smooth val="0"/>
        </c:ser>
        <c:dLbls>
          <c:showLegendKey val="0"/>
          <c:showVal val="0"/>
          <c:showCatName val="0"/>
          <c:showSerName val="0"/>
          <c:showPercent val="0"/>
          <c:showBubbleSize val="0"/>
        </c:dLbls>
        <c:smooth val="0"/>
        <c:axId val="134454120"/>
        <c:axId val="134454504"/>
      </c:lineChart>
      <c:catAx>
        <c:axId val="134454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Narrow" panose="020B0606020202030204" pitchFamily="34" charset="0"/>
                <a:ea typeface="+mn-ea"/>
                <a:cs typeface="+mn-cs"/>
              </a:defRPr>
            </a:pPr>
            <a:endParaRPr lang="en-US"/>
          </a:p>
        </c:txPr>
        <c:crossAx val="134454504"/>
        <c:crosses val="autoZero"/>
        <c:auto val="1"/>
        <c:lblAlgn val="ctr"/>
        <c:lblOffset val="100"/>
        <c:noMultiLvlLbl val="0"/>
      </c:catAx>
      <c:valAx>
        <c:axId val="134454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Narrow" panose="020B0606020202030204" pitchFamily="34" charset="0"/>
                <a:ea typeface="+mn-ea"/>
                <a:cs typeface="+mn-cs"/>
              </a:defRPr>
            </a:pPr>
            <a:endParaRPr lang="en-US"/>
          </a:p>
        </c:txPr>
        <c:crossAx val="13445412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Narrow" panose="020B0606020202030204" pitchFamily="34"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EB775-D79A-48DE-B0D4-C1D5AA56B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2059</Words>
  <Characters>11740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Colleen Mani</dc:creator>
  <cp:lastModifiedBy>Colleen Mani</cp:lastModifiedBy>
  <cp:revision>3</cp:revision>
  <dcterms:created xsi:type="dcterms:W3CDTF">2016-02-09T07:34:00Z</dcterms:created>
  <dcterms:modified xsi:type="dcterms:W3CDTF">2016-03-08T10:22:00Z</dcterms:modified>
</cp:coreProperties>
</file>